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A5007" w14:textId="77777777" w:rsidR="009819B6" w:rsidRPr="001674F2" w:rsidRDefault="007708AC" w:rsidP="001674F2">
      <w:pPr>
        <w:pBdr>
          <w:top w:val="none" w:sz="4" w:space="0" w:color="000000"/>
          <w:left w:val="none" w:sz="4" w:space="0" w:color="000000"/>
          <w:bottom w:val="none" w:sz="4" w:space="0" w:color="000000"/>
          <w:right w:val="none" w:sz="4" w:space="0" w:color="000000"/>
          <w:between w:val="none" w:sz="4" w:space="0" w:color="000000"/>
        </w:pBdr>
        <w:spacing w:before="160"/>
        <w:rPr>
          <w:b/>
          <w:sz w:val="36"/>
          <w:szCs w:val="36"/>
          <w:lang w:val="en-US"/>
        </w:rPr>
      </w:pPr>
      <w:r w:rsidRPr="001674F2">
        <w:rPr>
          <w:rFonts w:ascii="Verdana" w:eastAsia="Verdana" w:hAnsi="Verdana" w:cs="Verdana"/>
          <w:b/>
          <w:sz w:val="36"/>
          <w:szCs w:val="36"/>
          <w:lang w:val="en-GB"/>
        </w:rPr>
        <w:t>End-to-end trade digitalization: Questionnaire on regulatory analysis</w:t>
      </w:r>
    </w:p>
    <w:p w14:paraId="1D0BCF71"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lang w:val="en-US"/>
        </w:rPr>
      </w:pPr>
      <w:r w:rsidRPr="0003734E">
        <w:rPr>
          <w:rFonts w:ascii="Verdana" w:eastAsiaTheme="majorEastAsia" w:hAnsi="Verdana" w:cstheme="majorBidi"/>
          <w:b/>
          <w:iCs/>
          <w:lang w:val="en-US"/>
        </w:rPr>
        <w:t>Introduction</w:t>
      </w:r>
    </w:p>
    <w:p w14:paraId="6921DD64" w14:textId="4F1E47AD"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The </w:t>
      </w:r>
      <w:r w:rsidRPr="008565B3">
        <w:rPr>
          <w:rFonts w:ascii="Verdana" w:eastAsia="Verdana" w:hAnsi="Verdana" w:cs="Verdana"/>
          <w:sz w:val="20"/>
          <w:szCs w:val="20"/>
          <w:lang w:val="en-US"/>
        </w:rPr>
        <w:t xml:space="preserve">United Nations </w:t>
      </w:r>
      <w:r w:rsidRPr="008565B3">
        <w:rPr>
          <w:rFonts w:ascii="Verdana" w:eastAsia="Verdana" w:hAnsi="Verdana" w:cs="Verdana"/>
          <w:sz w:val="20"/>
          <w:szCs w:val="20"/>
          <w:lang w:val="en-GB"/>
        </w:rPr>
        <w:t>Commission on International Trade Law (UNCI</w:t>
      </w:r>
      <w:r w:rsidRPr="00260607">
        <w:rPr>
          <w:rFonts w:ascii="Verdana" w:eastAsia="Verdana" w:hAnsi="Verdana" w:cs="Verdana"/>
          <w:sz w:val="20"/>
          <w:szCs w:val="20"/>
          <w:lang w:val="en-GB"/>
        </w:rPr>
        <w:t>TR</w:t>
      </w:r>
      <w:r w:rsidRPr="008565B3">
        <w:rPr>
          <w:rFonts w:ascii="Verdana" w:eastAsia="Verdana" w:hAnsi="Verdana" w:cs="Verdana"/>
          <w:sz w:val="20"/>
          <w:szCs w:val="20"/>
          <w:lang w:val="en-GB"/>
        </w:rPr>
        <w:t>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14:textId="77777777" w:rsidR="00672A95"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14:textId="35AE9DEC"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This Questionnaire embraces </w:t>
      </w:r>
      <w:hyperlink r:id="rId8" w:tooltip="https://uncitral.un.org/sites/uncitral.un.org/files/media-documents/uncitral/en/19-04970_ebook.pdf" w:history="1">
        <w:r w:rsidRPr="008565B3">
          <w:rPr>
            <w:rStyle w:val="ad"/>
            <w:rFonts w:ascii="Verdana" w:eastAsia="Verdana" w:hAnsi="Verdana" w:cs="Verdana"/>
            <w:sz w:val="20"/>
            <w:szCs w:val="20"/>
            <w:lang w:val="en-US"/>
          </w:rPr>
          <w:t>MLEC</w:t>
        </w:r>
      </w:hyperlink>
      <w:r w:rsidRPr="008565B3">
        <w:rPr>
          <w:rFonts w:ascii="Verdana" w:eastAsia="Verdana" w:hAnsi="Verdana" w:cs="Verdana"/>
          <w:sz w:val="20"/>
          <w:szCs w:val="20"/>
          <w:lang w:val="en-GB"/>
        </w:rPr>
        <w:t xml:space="preserve">, </w:t>
      </w:r>
      <w:hyperlink r:id="rId9" w:tooltip="https://uncitral.un.org/sites/uncitral.un.org/files/media-documents/uncitral/en/ml-elecsig-e.pdf" w:history="1">
        <w:r w:rsidRPr="008565B3">
          <w:rPr>
            <w:rStyle w:val="ad"/>
            <w:rFonts w:ascii="Verdana" w:eastAsia="Verdana" w:hAnsi="Verdana" w:cs="Verdana"/>
            <w:sz w:val="20"/>
            <w:szCs w:val="20"/>
            <w:lang w:val="en-US"/>
          </w:rPr>
          <w:t>MLES</w:t>
        </w:r>
      </w:hyperlink>
      <w:r w:rsidRPr="008565B3">
        <w:rPr>
          <w:rFonts w:ascii="Verdana" w:eastAsia="Verdana" w:hAnsi="Verdana" w:cs="Verdana"/>
          <w:sz w:val="20"/>
          <w:szCs w:val="20"/>
          <w:lang w:val="en-GB"/>
        </w:rPr>
        <w:t xml:space="preserve">, </w:t>
      </w:r>
      <w:hyperlink r:id="rId10" w:tooltip="https://uncitral.un.org/sites/uncitral.un.org/files/media-documents/uncitral/en/06-57452_ebook.pdf" w:history="1">
        <w:r w:rsidRPr="008565B3">
          <w:rPr>
            <w:rStyle w:val="ad"/>
            <w:rFonts w:ascii="Verdana" w:eastAsia="Verdana" w:hAnsi="Verdana" w:cs="Verdana"/>
            <w:sz w:val="20"/>
            <w:szCs w:val="20"/>
            <w:lang w:val="en-US"/>
          </w:rPr>
          <w:t>ECC</w:t>
        </w:r>
      </w:hyperlink>
      <w:r w:rsidRPr="008565B3">
        <w:rPr>
          <w:rFonts w:ascii="Verdana" w:eastAsia="Verdana" w:hAnsi="Verdana" w:cs="Verdana"/>
          <w:sz w:val="20"/>
          <w:szCs w:val="20"/>
          <w:lang w:val="en-GB"/>
        </w:rPr>
        <w:t xml:space="preserve">, </w:t>
      </w:r>
      <w:hyperlink r:id="rId11" w:tooltip="https://uncitral.un.org/sites/uncitral.un.org/files/media-documents/uncitral/en/mletr_ebook_e.pdf" w:history="1">
        <w:r w:rsidRPr="008565B3">
          <w:rPr>
            <w:rStyle w:val="ad"/>
            <w:rFonts w:ascii="Verdana" w:eastAsia="Verdana" w:hAnsi="Verdana" w:cs="Verdana"/>
            <w:sz w:val="20"/>
            <w:szCs w:val="20"/>
            <w:lang w:val="en-US"/>
          </w:rPr>
          <w:t>MLETR</w:t>
        </w:r>
      </w:hyperlink>
      <w:r w:rsidRPr="008565B3">
        <w:rPr>
          <w:rFonts w:ascii="Verdana" w:eastAsia="Verdana" w:hAnsi="Verdana" w:cs="Verdana"/>
          <w:sz w:val="20"/>
          <w:szCs w:val="20"/>
          <w:lang w:val="en-GB"/>
        </w:rPr>
        <w:t xml:space="preserve">, </w:t>
      </w:r>
      <w:hyperlink r:id="rId12" w:tooltip="https://uncitral.un.org/sites/uncitral.un.org/files/media-documents/uncitral/en/mlit_en.pdf" w:history="1">
        <w:r w:rsidRPr="008565B3">
          <w:rPr>
            <w:rStyle w:val="ad"/>
            <w:rFonts w:ascii="Verdana" w:eastAsia="Verdana" w:hAnsi="Verdana" w:cs="Verdana"/>
            <w:sz w:val="20"/>
            <w:szCs w:val="20"/>
            <w:lang w:val="en-US"/>
          </w:rPr>
          <w:t>MLIT</w:t>
        </w:r>
      </w:hyperlink>
      <w:r w:rsidRPr="008565B3">
        <w:rPr>
          <w:rFonts w:ascii="Verdana" w:eastAsia="Verdana" w:hAnsi="Verdana" w:cs="Verdana"/>
          <w:sz w:val="20"/>
          <w:szCs w:val="20"/>
          <w:lang w:val="en-GB"/>
        </w:rPr>
        <w:t xml:space="preserve">, </w:t>
      </w:r>
      <w:hyperlink r:id="rId13" w:tooltip="https://uncitral.un.org/sites/uncitral.un.org/files/mlac_en.pdf" w:history="1">
        <w:r w:rsidRPr="00E21B9E">
          <w:rPr>
            <w:rStyle w:val="ad"/>
            <w:rFonts w:ascii="Verdana" w:eastAsia="Verdana" w:hAnsi="Verdana" w:cs="Verdana"/>
            <w:sz w:val="20"/>
            <w:szCs w:val="20"/>
            <w:lang w:val="en-US"/>
          </w:rPr>
          <w:t>MLAC</w:t>
        </w:r>
      </w:hyperlink>
      <w:r w:rsidRPr="00E21B9E">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It</w:t>
      </w:r>
      <w:r w:rsidR="00E64D16" w:rsidRPr="008565B3">
        <w:rPr>
          <w:rFonts w:ascii="Verdana" w:eastAsia="Verdana" w:hAnsi="Verdana" w:cs="Verdana"/>
          <w:sz w:val="20"/>
          <w:szCs w:val="20"/>
          <w:lang w:val="en-GB"/>
        </w:rPr>
        <w:t xml:space="preserve"> consolidates</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UNCITRAL</w:t>
      </w:r>
      <w:r w:rsidR="00E64D16" w:rsidRPr="008565B3">
        <w:rPr>
          <w:rFonts w:ascii="Verdana" w:eastAsia="Verdana" w:hAnsi="Verdana" w:cs="Verdana"/>
          <w:sz w:val="20"/>
          <w:szCs w:val="20"/>
          <w:lang w:val="en-US"/>
        </w:rPr>
        <w:t>’s</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US"/>
        </w:rPr>
        <w:t>provisions</w:t>
      </w:r>
      <w:r w:rsidR="00E64D16" w:rsidRPr="008565B3">
        <w:rPr>
          <w:rFonts w:ascii="Verdana" w:eastAsia="Verdana" w:hAnsi="Verdana" w:cs="Verdana"/>
          <w:sz w:val="20"/>
          <w:szCs w:val="20"/>
          <w:lang w:val="en-GB"/>
        </w:rPr>
        <w:t xml:space="preserve"> on end-to-end trade digitalization based on the existing model laws and</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convention</w:t>
      </w:r>
      <w:r w:rsidR="00E64D16">
        <w:rPr>
          <w:rFonts w:ascii="Verdana" w:eastAsia="Verdana" w:hAnsi="Verdana" w:cs="Verdana"/>
          <w:sz w:val="20"/>
          <w:szCs w:val="20"/>
          <w:lang w:val="en-GB"/>
        </w:rPr>
        <w:t xml:space="preserve"> </w:t>
      </w:r>
      <w:r w:rsidR="00E64D16" w:rsidRPr="00205B01">
        <w:rPr>
          <w:rFonts w:ascii="Verdana" w:eastAsia="Verdana" w:hAnsi="Verdana" w:cs="Verdana"/>
          <w:sz w:val="20"/>
          <w:szCs w:val="20"/>
          <w:lang w:val="en-GB"/>
        </w:rPr>
        <w:t>in a generalized form</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 xml:space="preserve">in order </w:t>
      </w:r>
      <w:r w:rsidR="00E64D16" w:rsidRPr="00205B01">
        <w:rPr>
          <w:rFonts w:ascii="Verdana" w:eastAsia="Verdana" w:hAnsi="Verdana" w:cs="Verdana"/>
          <w:sz w:val="20"/>
          <w:szCs w:val="20"/>
          <w:lang w:val="en-GB"/>
        </w:rPr>
        <w:t>to avoid duplication</w:t>
      </w:r>
      <w:r w:rsidR="00E64D16">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p>
    <w:p w14:paraId="72EA2F60"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03734E">
        <w:rPr>
          <w:rFonts w:ascii="Verdana" w:eastAsiaTheme="majorEastAsia" w:hAnsi="Verdana" w:cstheme="majorBidi"/>
          <w:b/>
          <w:iCs/>
          <w:lang w:val="en-US"/>
        </w:rPr>
        <w:t>Instructions</w:t>
      </w:r>
    </w:p>
    <w:p w14:paraId="1D287089" w14:textId="1FB076CE"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w:t>
      </w:r>
      <w:r w:rsidRPr="007077E0">
        <w:rPr>
          <w:rFonts w:ascii="Verdana" w:eastAsia="Verdana" w:hAnsi="Verdana" w:cs="Verdana"/>
          <w:sz w:val="20"/>
          <w:szCs w:val="20"/>
          <w:lang w:val="en-GB"/>
        </w:rPr>
        <w:t>Q</w:t>
      </w:r>
      <w:r w:rsidRPr="008565B3">
        <w:rPr>
          <w:rFonts w:ascii="Verdana" w:eastAsia="Verdana" w:hAnsi="Verdana" w:cs="Verdana"/>
          <w:sz w:val="20"/>
          <w:szCs w:val="20"/>
          <w:lang w:val="en-GB"/>
        </w:rPr>
        <w:t xml:space="preserve">uestionnaire consists of seven parts. The first part deals with the regulatory landscape of your country. </w:t>
      </w:r>
      <w:r>
        <w:rPr>
          <w:rFonts w:ascii="Verdana" w:eastAsia="Verdana" w:hAnsi="Verdana" w:cs="Verdana"/>
          <w:sz w:val="20"/>
          <w:szCs w:val="20"/>
          <w:lang w:val="en-GB"/>
        </w:rPr>
        <w:t>Kindly check which areas of digital trade are already covered by specific laws and briefly describe how each of the UNCITRAL General Principles is implemented in your country.</w:t>
      </w:r>
    </w:p>
    <w:p w14:paraId="3371F895" w14:textId="53D7A5EA"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Pr>
          <w:rFonts w:ascii="Verdana" w:eastAsia="Verdana" w:hAnsi="Verdana" w:cs="Verdana"/>
          <w:sz w:val="20"/>
          <w:szCs w:val="20"/>
          <w:lang w:val="en-GB"/>
        </w:rPr>
        <w:t>Parts II to VI are based on the relevant model laws and the convention. When answering the questions, please use one of the three colours to fill in the cells in accordance</w:t>
      </w:r>
      <w:r w:rsidR="00BF4BB0" w:rsidRPr="00A36EB7">
        <w:rPr>
          <w:rFonts w:ascii="Verdana" w:eastAsia="Verdana" w:hAnsi="Verdana" w:cs="Verdana"/>
          <w:sz w:val="20"/>
          <w:szCs w:val="20"/>
          <w:lang w:val="en-US"/>
        </w:rPr>
        <w:t xml:space="preserve"> </w:t>
      </w:r>
      <w:r w:rsidR="00BF4BB0">
        <w:rPr>
          <w:rFonts w:ascii="Verdana" w:eastAsia="Verdana" w:hAnsi="Verdana" w:cs="Verdana"/>
          <w:sz w:val="20"/>
          <w:szCs w:val="20"/>
          <w:lang w:val="en-US"/>
        </w:rPr>
        <w:t>with</w:t>
      </w:r>
      <w:r>
        <w:rPr>
          <w:rFonts w:ascii="Verdana" w:eastAsia="Verdana" w:hAnsi="Verdana" w:cs="Verdana"/>
          <w:sz w:val="20"/>
          <w:szCs w:val="20"/>
          <w:lang w:val="en-GB"/>
        </w:rPr>
        <w:t xml:space="preserve"> the </w:t>
      </w:r>
      <w:r w:rsidR="001674F2">
        <w:rPr>
          <w:rFonts w:ascii="Verdana" w:eastAsia="Verdana" w:hAnsi="Verdana" w:cs="Verdana"/>
          <w:sz w:val="20"/>
          <w:szCs w:val="20"/>
          <w:lang w:val="en-GB"/>
        </w:rPr>
        <w:t>colour</w:t>
      </w:r>
      <w:r>
        <w:rPr>
          <w:rFonts w:ascii="Verdana" w:eastAsia="Verdana" w:hAnsi="Verdana" w:cs="Verdana"/>
          <w:sz w:val="20"/>
          <w:szCs w:val="20"/>
          <w:lang w:val="en-GB"/>
        </w:rPr>
        <w:t xml:space="preserve"> coding of the study</w:t>
      </w:r>
      <w:r w:rsidRPr="008565B3">
        <w:rPr>
          <w:rFonts w:ascii="Verdana" w:eastAsia="Verdana" w:hAnsi="Verdana" w:cs="Verdana"/>
          <w:sz w:val="20"/>
          <w:szCs w:val="20"/>
          <w:lang w:val="en-GB"/>
        </w:rPr>
        <w:t>:</w:t>
      </w:r>
    </w:p>
    <w:tbl>
      <w:tblPr>
        <w:tblStyle w:val="ac"/>
        <w:tblW w:w="0" w:type="auto"/>
        <w:tblLook w:val="04A0" w:firstRow="1" w:lastRow="0" w:firstColumn="1" w:lastColumn="0" w:noHBand="0" w:noVBand="1"/>
      </w:tblPr>
      <w:tblGrid>
        <w:gridCol w:w="3115"/>
        <w:gridCol w:w="3115"/>
        <w:gridCol w:w="3115"/>
      </w:tblGrid>
      <w:tr w:rsidR="009819B6" w:rsidRPr="00BA23DB" w14:paraId="4141ACC3" w14:textId="77777777" w:rsidTr="00DB02A8">
        <w:tc>
          <w:tcPr>
            <w:tcW w:w="3118" w:type="dxa"/>
            <w:shd w:val="clear" w:color="auto" w:fill="FBE4D5" w:themeFill="accent2" w:themeFillTint="33"/>
          </w:tcPr>
          <w:p w14:paraId="1D34794E"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no regulation:</w:t>
            </w:r>
            <w:r>
              <w:rPr>
                <w:rFonts w:ascii="Verdana" w:eastAsia="Verdana" w:hAnsi="Verdana" w:cs="Verdana"/>
                <w:sz w:val="20"/>
                <w:szCs w:val="20"/>
                <w:lang w:val="en-GB"/>
              </w:rPr>
              <w:t xml:space="preserve"> </w:t>
            </w:r>
          </w:p>
          <w:p w14:paraId="40EA64E1" w14:textId="397D7669"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UNCITRAL regulation:</w:t>
            </w:r>
            <w:r>
              <w:rPr>
                <w:rFonts w:ascii="Verdana" w:eastAsia="Verdana" w:hAnsi="Verdana" w:cs="Verdana"/>
                <w:sz w:val="20"/>
                <w:szCs w:val="20"/>
                <w:lang w:val="en-GB"/>
              </w:rPr>
              <w:t xml:space="preserve"> </w:t>
            </w:r>
          </w:p>
          <w:p w14:paraId="7B2CCFEB" w14:textId="10ED9023" w:rsidR="009819B6" w:rsidRPr="00B00D42"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14:textId="1C751BDA"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b/>
                <w:sz w:val="20"/>
                <w:szCs w:val="20"/>
                <w:lang w:val="en-GB"/>
              </w:rPr>
              <w:t>alternative regulation:</w:t>
            </w:r>
            <w:r>
              <w:rPr>
                <w:rFonts w:ascii="Verdana" w:eastAsia="Verdana" w:hAnsi="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14:textId="77777777"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Part VII deals with the regulatory gaps and aims at identifying the areas not yet covered by the UNCITRAL instruments.  </w:t>
      </w:r>
    </w:p>
    <w:p w14:paraId="10C22229" w14:textId="070F7149"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14:textId="724F6703" w:rsidR="009819B6" w:rsidRPr="00125362" w:rsidRDefault="007708AC" w:rsidP="009F5EF1">
      <w:pPr>
        <w:pageBreakBefore/>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03734E">
        <w:rPr>
          <w:rFonts w:ascii="Verdana" w:eastAsiaTheme="majorEastAsia" w:hAnsi="Verdana" w:cstheme="majorBidi"/>
          <w:b/>
          <w:iCs/>
          <w:color w:val="143055"/>
          <w:lang w:val="en-US"/>
        </w:rPr>
        <w:lastRenderedPageBreak/>
        <w:t>Part I. General</w:t>
      </w:r>
    </w:p>
    <w:p w14:paraId="2E00BDAB" w14:textId="77777777" w:rsidR="009819B6" w:rsidRPr="002B34FE"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What </w:t>
      </w:r>
      <w:r>
        <w:rPr>
          <w:rFonts w:ascii="Verdana" w:eastAsia="Verdana" w:hAnsi="Verdana" w:cs="Verdana"/>
          <w:sz w:val="20"/>
          <w:szCs w:val="20"/>
          <w:lang w:val="en-GB"/>
        </w:rPr>
        <w:t>special</w:t>
      </w:r>
      <w:r w:rsidRPr="008565B3">
        <w:rPr>
          <w:rFonts w:ascii="Verdana" w:eastAsia="Verdana" w:hAnsi="Verdana" w:cs="Verdana"/>
          <w:sz w:val="20"/>
          <w:szCs w:val="20"/>
          <w:lang w:val="en-GB"/>
        </w:rPr>
        <w:t xml:space="preserve"> laws are there in your country?</w:t>
      </w:r>
    </w:p>
    <w:p w14:paraId="3E343D93" w14:textId="6FDD7AC5" w:rsidR="009819B6" w:rsidRPr="008565B3" w:rsidRDefault="000E23AA">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238937943"/>
          <w14:checkbox>
            <w14:checked w14:val="1"/>
            <w14:checkedState w14:val="2612" w14:font="MS Gothic"/>
            <w14:uncheckedState w14:val="2610" w14:font="MS Gothic"/>
          </w14:checkbox>
        </w:sdtPr>
        <w:sdtEndPr/>
        <w:sdtContent>
          <w:r w:rsidR="0007709F">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 commerce/digital trade</w:t>
      </w:r>
    </w:p>
    <w:tbl>
      <w:tblPr>
        <w:tblStyle w:val="ac"/>
        <w:tblW w:w="0" w:type="auto"/>
        <w:tblLook w:val="04A0" w:firstRow="1" w:lastRow="0" w:firstColumn="1" w:lastColumn="0" w:noHBand="0" w:noVBand="1"/>
      </w:tblPr>
      <w:tblGrid>
        <w:gridCol w:w="9345"/>
      </w:tblGrid>
      <w:tr w:rsidR="009819B6" w14:paraId="039B65D4" w14:textId="77777777">
        <w:tc>
          <w:tcPr>
            <w:tcW w:w="9355" w:type="dxa"/>
          </w:tcPr>
          <w:p w14:paraId="752AFB0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0CED3874" w14:textId="436943AA" w:rsidR="009819B6" w:rsidRPr="0007709F" w:rsidRDefault="0007709F">
            <w:pPr>
              <w:pBdr>
                <w:top w:val="none" w:sz="4" w:space="0" w:color="000000"/>
                <w:left w:val="none" w:sz="4" w:space="0" w:color="000000"/>
                <w:bottom w:val="none" w:sz="4" w:space="0" w:color="000000"/>
                <w:right w:val="none" w:sz="4" w:space="0" w:color="000000"/>
                <w:between w:val="none" w:sz="4" w:space="0" w:color="000000"/>
              </w:pBdr>
              <w:rPr>
                <w:lang w:val="en-US"/>
              </w:rPr>
            </w:pPr>
            <w:r>
              <w:t xml:space="preserve">2021 </w:t>
            </w:r>
            <w:r>
              <w:rPr>
                <w:lang w:val="en-US"/>
              </w:rPr>
              <w:t>Law on Electronic Commerce</w:t>
            </w:r>
          </w:p>
        </w:tc>
      </w:tr>
    </w:tbl>
    <w:p w14:paraId="7B9E2584"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D123F4C" w14:textId="6A6B9A76" w:rsidR="009819B6" w:rsidRPr="008565B3" w:rsidRDefault="000E23AA">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325934962"/>
          <w14:checkbox>
            <w14:checked w14:val="1"/>
            <w14:checkedState w14:val="2612" w14:font="MS Gothic"/>
            <w14:uncheckedState w14:val="2610" w14:font="MS Gothic"/>
          </w14:checkbox>
        </w:sdtPr>
        <w:sdtEndPr/>
        <w:sdtContent>
          <w:r w:rsidR="0007709F">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electronic/digital signatures</w:t>
      </w:r>
    </w:p>
    <w:tbl>
      <w:tblPr>
        <w:tblStyle w:val="ac"/>
        <w:tblW w:w="0" w:type="auto"/>
        <w:tblLook w:val="04A0" w:firstRow="1" w:lastRow="0" w:firstColumn="1" w:lastColumn="0" w:noHBand="0" w:noVBand="1"/>
      </w:tblPr>
      <w:tblGrid>
        <w:gridCol w:w="9345"/>
      </w:tblGrid>
      <w:tr w:rsidR="009819B6" w:rsidRPr="00BA23DB" w14:paraId="7CE293C4" w14:textId="77777777">
        <w:tc>
          <w:tcPr>
            <w:tcW w:w="9355" w:type="dxa"/>
          </w:tcPr>
          <w:p w14:paraId="40133AAC"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CBEC043" w14:textId="01190D64" w:rsidR="009819B6" w:rsidRPr="00BA23DB" w:rsidRDefault="0007709F" w:rsidP="0007709F">
            <w:pPr>
              <w:pBdr>
                <w:top w:val="none" w:sz="4" w:space="0" w:color="000000"/>
                <w:left w:val="none" w:sz="4" w:space="0" w:color="000000"/>
                <w:bottom w:val="none" w:sz="4" w:space="0" w:color="000000"/>
                <w:right w:val="none" w:sz="4" w:space="0" w:color="000000"/>
                <w:between w:val="none" w:sz="4" w:space="0" w:color="000000"/>
              </w:pBdr>
              <w:rPr>
                <w:lang w:val="en-US"/>
              </w:rPr>
            </w:pPr>
            <w:r w:rsidRPr="00BA23DB">
              <w:rPr>
                <w:lang w:val="en-US"/>
              </w:rPr>
              <w:t xml:space="preserve">2025 </w:t>
            </w:r>
            <w:r>
              <w:rPr>
                <w:lang w:val="en-US"/>
              </w:rPr>
              <w:t>Kyrgyz</w:t>
            </w:r>
            <w:r w:rsidRPr="00BA23DB">
              <w:rPr>
                <w:lang w:val="en-US"/>
              </w:rPr>
              <w:t xml:space="preserve"> </w:t>
            </w:r>
            <w:r>
              <w:rPr>
                <w:lang w:val="en-US"/>
              </w:rPr>
              <w:t>Digital Code</w:t>
            </w:r>
            <w:r w:rsidR="00BA23DB" w:rsidRPr="00BA23DB">
              <w:rPr>
                <w:lang w:val="en-US"/>
              </w:rPr>
              <w:t xml:space="preserve"> (</w:t>
            </w:r>
            <w:r w:rsidR="00BA23DB">
              <w:rPr>
                <w:lang w:val="en-US"/>
              </w:rPr>
              <w:t>to be enacted in 2025)</w:t>
            </w:r>
            <w:bookmarkStart w:id="0" w:name="_GoBack"/>
            <w:bookmarkEnd w:id="0"/>
          </w:p>
        </w:tc>
      </w:tr>
    </w:tbl>
    <w:p w14:paraId="1B4BC6B5"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4512D503" w14:textId="7D7D3647" w:rsidR="009819B6" w:rsidRPr="0007709F" w:rsidRDefault="000E23AA">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487977925"/>
          <w14:checkbox>
            <w14:checked w14:val="1"/>
            <w14:checkedState w14:val="2612" w14:font="MS Gothic"/>
            <w14:uncheckedState w14:val="2610" w14:font="MS Gothic"/>
          </w14:checkbox>
        </w:sdtPr>
        <w:sdtEndPr/>
        <w:sdtContent>
          <w:r w:rsidR="0007709F">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identity and trust services</w:t>
      </w:r>
    </w:p>
    <w:tbl>
      <w:tblPr>
        <w:tblStyle w:val="ac"/>
        <w:tblW w:w="0" w:type="auto"/>
        <w:tblLook w:val="04A0" w:firstRow="1" w:lastRow="0" w:firstColumn="1" w:lastColumn="0" w:noHBand="0" w:noVBand="1"/>
      </w:tblPr>
      <w:tblGrid>
        <w:gridCol w:w="9345"/>
      </w:tblGrid>
      <w:tr w:rsidR="009819B6" w14:paraId="44D4CF5C" w14:textId="77777777">
        <w:tc>
          <w:tcPr>
            <w:tcW w:w="9355" w:type="dxa"/>
          </w:tcPr>
          <w:p w14:paraId="7E82A3F6" w14:textId="77777777" w:rsidR="009819B6" w:rsidRPr="0007709F"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74D90655" w14:textId="0CEAD32F" w:rsidR="009819B6" w:rsidRDefault="005F5ED3">
            <w:pPr>
              <w:pBdr>
                <w:top w:val="none" w:sz="4" w:space="0" w:color="000000"/>
                <w:left w:val="none" w:sz="4" w:space="0" w:color="000000"/>
                <w:bottom w:val="none" w:sz="4" w:space="0" w:color="000000"/>
                <w:right w:val="none" w:sz="4" w:space="0" w:color="000000"/>
                <w:between w:val="none" w:sz="4" w:space="0" w:color="000000"/>
              </w:pBdr>
            </w:pPr>
            <w:r>
              <w:rPr>
                <w:lang w:val="en-US"/>
              </w:rPr>
              <w:t xml:space="preserve">2025 </w:t>
            </w:r>
            <w:r w:rsidR="0007709F">
              <w:rPr>
                <w:lang w:val="en-US"/>
              </w:rPr>
              <w:t>Kyrgyz</w:t>
            </w:r>
            <w:r w:rsidR="0007709F">
              <w:t xml:space="preserve"> </w:t>
            </w:r>
            <w:r w:rsidR="0007709F">
              <w:rPr>
                <w:lang w:val="en-US"/>
              </w:rPr>
              <w:t>Digital Code</w:t>
            </w:r>
          </w:p>
        </w:tc>
      </w:tr>
    </w:tbl>
    <w:p w14:paraId="3323C63A"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E7875AF" w14:textId="6F0F3184" w:rsidR="009819B6" w:rsidRPr="008565B3" w:rsidRDefault="000E23AA">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677799214"/>
          <w14:checkbox>
            <w14:checked w14:val="1"/>
            <w14:checkedState w14:val="2612" w14:font="MS Gothic"/>
            <w14:uncheckedState w14:val="2610" w14:font="MS Gothic"/>
          </w14:checkbox>
        </w:sdtPr>
        <w:sdtEndPr/>
        <w:sdtContent>
          <w:r w:rsidR="0007709F">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automated contracting</w:t>
      </w:r>
    </w:p>
    <w:tbl>
      <w:tblPr>
        <w:tblStyle w:val="ac"/>
        <w:tblW w:w="0" w:type="auto"/>
        <w:tblLook w:val="04A0" w:firstRow="1" w:lastRow="0" w:firstColumn="1" w:lastColumn="0" w:noHBand="0" w:noVBand="1"/>
      </w:tblPr>
      <w:tblGrid>
        <w:gridCol w:w="9345"/>
      </w:tblGrid>
      <w:tr w:rsidR="009819B6" w14:paraId="733A0760" w14:textId="77777777">
        <w:tc>
          <w:tcPr>
            <w:tcW w:w="9355" w:type="dxa"/>
          </w:tcPr>
          <w:p w14:paraId="6E47B9E0" w14:textId="18AA1801" w:rsidR="009819B6" w:rsidRDefault="005F5ED3">
            <w:pPr>
              <w:pBdr>
                <w:top w:val="none" w:sz="4" w:space="0" w:color="000000"/>
                <w:left w:val="none" w:sz="4" w:space="0" w:color="000000"/>
                <w:bottom w:val="none" w:sz="4" w:space="0" w:color="000000"/>
                <w:right w:val="none" w:sz="4" w:space="0" w:color="000000"/>
                <w:between w:val="none" w:sz="4" w:space="0" w:color="000000"/>
              </w:pBdr>
            </w:pPr>
            <w:r>
              <w:rPr>
                <w:lang w:val="en-US"/>
              </w:rPr>
              <w:t xml:space="preserve">2025 </w:t>
            </w:r>
            <w:r w:rsidR="0007709F">
              <w:rPr>
                <w:lang w:val="en-US"/>
              </w:rPr>
              <w:t>Kyrgyz</w:t>
            </w:r>
            <w:r w:rsidR="0007709F">
              <w:t xml:space="preserve"> </w:t>
            </w:r>
            <w:r w:rsidR="0007709F">
              <w:rPr>
                <w:lang w:val="en-US"/>
              </w:rPr>
              <w:t>Digital Code</w:t>
            </w:r>
          </w:p>
          <w:p w14:paraId="50B2B79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tc>
      </w:tr>
    </w:tbl>
    <w:p w14:paraId="1439E0D1"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0B727DFB" w14:textId="77777777" w:rsidR="009819B6" w:rsidRPr="008565B3" w:rsidRDefault="000E23AA">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870179781"/>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electronic/digital transferrable records</w:t>
      </w:r>
    </w:p>
    <w:tbl>
      <w:tblPr>
        <w:tblStyle w:val="ac"/>
        <w:tblW w:w="0" w:type="auto"/>
        <w:tblLook w:val="04A0" w:firstRow="1" w:lastRow="0" w:firstColumn="1" w:lastColumn="0" w:noHBand="0" w:noVBand="1"/>
      </w:tblPr>
      <w:tblGrid>
        <w:gridCol w:w="9345"/>
      </w:tblGrid>
      <w:tr w:rsidR="009819B6" w:rsidRPr="008565B3" w14:paraId="7632D6A1" w14:textId="77777777">
        <w:tc>
          <w:tcPr>
            <w:tcW w:w="9355" w:type="dxa"/>
          </w:tcPr>
          <w:p w14:paraId="4EC332AC"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17BD1F8"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7A79FBFA" w14:textId="77777777" w:rsidR="009819B6" w:rsidRPr="003278C5"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Adherence to the UNCITRAL General Principles</w:t>
      </w:r>
    </w:p>
    <w:tbl>
      <w:tblPr>
        <w:tblW w:w="0" w:type="auto"/>
        <w:tblCellMar>
          <w:left w:w="0" w:type="dxa"/>
          <w:right w:w="0" w:type="dxa"/>
        </w:tblCellMar>
        <w:tblLook w:val="0420" w:firstRow="1" w:lastRow="0" w:firstColumn="0" w:lastColumn="0" w:noHBand="0" w:noVBand="1"/>
      </w:tblPr>
      <w:tblGrid>
        <w:gridCol w:w="1823"/>
        <w:gridCol w:w="4515"/>
        <w:gridCol w:w="2997"/>
      </w:tblGrid>
      <w:tr w:rsidR="009819B6" w14:paraId="5C73F4AB"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490F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principle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FA4A5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02DA0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BA23DB" w14:paraId="27601262"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7E3D0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Non-discrimination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0A859A6" w14:textId="759DE633"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Non-discrimination between information </w:t>
            </w:r>
            <w:r>
              <w:rPr>
                <w:rFonts w:ascii="Verdana" w:eastAsia="Verdana" w:hAnsi="Verdana" w:cs="Verdana"/>
                <w:sz w:val="20"/>
                <w:lang w:val="en-GB"/>
              </w:rPr>
              <w:t>on</w:t>
            </w:r>
            <w:r w:rsidRPr="008565B3">
              <w:rPr>
                <w:rFonts w:ascii="Verdana" w:eastAsia="Verdana" w:hAnsi="Verdana" w:cs="Verdana"/>
                <w:sz w:val="20"/>
                <w:lang w:val="en-GB"/>
              </w:rPr>
              <w:t xml:space="preserve"> a paper medium and information communicated or stored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7DB39B" w14:textId="261956F1"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Sector-specific implementation (mostly for e-signatures and gov</w:t>
            </w:r>
            <w:r w:rsidR="005F5ED3">
              <w:rPr>
                <w:lang w:val="en-US"/>
              </w:rPr>
              <w:t>ernment</w:t>
            </w:r>
            <w:r>
              <w:rPr>
                <w:lang w:val="en-US"/>
              </w:rPr>
              <w:t xml:space="preserve"> services)</w:t>
            </w:r>
          </w:p>
        </w:tc>
      </w:tr>
      <w:tr w:rsidR="009819B6" w:rsidRPr="00D845C0" w14:paraId="70F4548C"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BAE019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80868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 discrimination should be made among the various techniques that may be used to communicate or store information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B4CB9E" w14:textId="6DB8AEBA" w:rsidR="009819B6" w:rsidRPr="008565B3" w:rsidRDefault="005F5ED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BA23DB" w14:paraId="1E6B4ADF"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C6B2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Functional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C86BCF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Analysis of the purposes and functions of the traditional paper-based requirement with a view to determining how those purposes or functions could be fulfilled through electronic-commerce techniques.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0BF965" w14:textId="384A826A" w:rsidR="009819B6" w:rsidRPr="008565B3" w:rsidRDefault="005F5ED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Alternative approach: continuity and resilience </w:t>
            </w:r>
          </w:p>
        </w:tc>
      </w:tr>
    </w:tbl>
    <w:p w14:paraId="218CA913"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 Electronic communications </w:t>
      </w:r>
    </w:p>
    <w:p w14:paraId="2C3F0AA1" w14:textId="0E97936D" w:rsidR="009819B6" w:rsidRPr="00945FB2"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945FB2">
        <w:rPr>
          <w:rFonts w:ascii="Verdana" w:eastAsiaTheme="majorEastAsia" w:hAnsi="Verdana" w:cs="Verdana"/>
          <w:color w:val="000000" w:themeColor="text1"/>
          <w:sz w:val="18"/>
          <w:szCs w:val="18"/>
          <w:shd w:val="clear" w:color="auto" w:fill="FBE4D5" w:themeFill="accent2" w:themeFillTint="33"/>
          <w:lang w:val="en-GB"/>
        </w:rPr>
        <w:t>no regulation</w:t>
      </w:r>
      <w:r w:rsidRPr="00945FB2">
        <w:rPr>
          <w:rFonts w:ascii="Verdana" w:eastAsiaTheme="majorEastAsia" w:hAnsi="Verdana" w:cs="Verdana"/>
          <w:color w:val="000000" w:themeColor="text1"/>
          <w:sz w:val="18"/>
          <w:szCs w:val="18"/>
          <w:lang w:val="en-GB"/>
        </w:rPr>
        <w:t>,</w:t>
      </w:r>
      <w:r w:rsidRPr="00945FB2">
        <w:rPr>
          <w:rFonts w:ascii="Verdana" w:eastAsia="Verdana" w:hAnsi="Verdana" w:cs="Verdana"/>
          <w:b/>
          <w:sz w:val="18"/>
          <w:szCs w:val="18"/>
          <w:lang w:val="en-US"/>
        </w:rPr>
        <w:t xml:space="preserve"> </w:t>
      </w:r>
      <w:r w:rsidRPr="00945FB2">
        <w:rPr>
          <w:rFonts w:ascii="Verdana" w:eastAsiaTheme="majorEastAsia" w:hAnsi="Verdana" w:cs="Verdana"/>
          <w:color w:val="000000" w:themeColor="text1"/>
          <w:sz w:val="18"/>
          <w:szCs w:val="18"/>
          <w:shd w:val="clear" w:color="auto" w:fill="E2EFD9" w:themeFill="accent6" w:themeFillTint="33"/>
          <w:lang w:val="en-GB"/>
        </w:rPr>
        <w:t>UNCITRAL regulation</w:t>
      </w:r>
      <w:r w:rsidRPr="00945FB2">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67"/>
        <w:gridCol w:w="5267"/>
        <w:gridCol w:w="2101"/>
      </w:tblGrid>
      <w:tr w:rsidR="009819B6" w14:paraId="194DEC4D"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0E93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CD5E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B98C7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D845C0" w14:paraId="468BCBD4" w14:textId="77777777" w:rsidTr="00304FF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D6EF540" w14:textId="476F55E3" w:rsidR="009819B6" w:rsidRPr="001B1945" w:rsidRDefault="001B194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Pr>
                <w:rFonts w:ascii="Verdana" w:eastAsia="Verdana" w:hAnsi="Verdana" w:cs="Verdana"/>
                <w:sz w:val="20"/>
                <w:lang w:val="en-GB"/>
              </w:rPr>
              <w:t>C</w:t>
            </w:r>
            <w:r w:rsidR="007708AC" w:rsidRPr="008565B3">
              <w:rPr>
                <w:rFonts w:ascii="Verdana" w:eastAsia="Verdana" w:hAnsi="Verdana" w:cs="Verdana"/>
                <w:sz w:val="20"/>
                <w:lang w:val="en-GB"/>
              </w:rPr>
              <w:t>onsent</w:t>
            </w:r>
            <w:r>
              <w:rPr>
                <w:rFonts w:ascii="Verdana" w:eastAsia="Verdana" w:hAnsi="Verdana" w:cs="Verdana"/>
                <w:sz w:val="20"/>
              </w:rPr>
              <w:t xml:space="preserve"> </w:t>
            </w:r>
            <w:r>
              <w:rPr>
                <w:rFonts w:ascii="Verdana" w:eastAsia="Verdana" w:hAnsi="Verdana" w:cs="Verdana"/>
                <w:sz w:val="20"/>
                <w:lang w:val="en-US"/>
              </w:rPr>
              <w:t>to use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AFC1D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Nothing requires a party to use or accept electronic communications, but a party’s agreement to do so may be inferred from the party’s conduct.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4514B5B5" w14:textId="228A76F8" w:rsidR="009819B6" w:rsidRPr="00304FF7" w:rsidRDefault="00304FF7">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43FF2B88" w14:textId="77777777" w:rsidTr="00D845C0">
        <w:trPr>
          <w:trHeight w:val="584"/>
        </w:trPr>
        <w:tc>
          <w:tcPr>
            <w:tcW w:w="205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174D24"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Technological neutrality of communication</w:t>
            </w:r>
          </w:p>
        </w:tc>
        <w:tc>
          <w:tcPr>
            <w:tcW w:w="5452"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4F76912"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The rules do not depend on or presuppose the use of particular types of technology and could be applied to communication and storage of all types of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286AF48" w14:textId="05A88E96" w:rsidR="009819B6" w:rsidRPr="00D845C0" w:rsidRDefault="00D845C0" w:rsidP="00D845C0">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D845C0">
              <w:rPr>
                <w:rFonts w:ascii="Verdana" w:eastAsia="Verdana" w:hAnsi="Verdana" w:cs="Verdana"/>
                <w:sz w:val="20"/>
                <w:lang w:val="en-GB"/>
              </w:rPr>
              <w:t>Implemented</w:t>
            </w:r>
          </w:p>
        </w:tc>
      </w:tr>
      <w:tr w:rsidR="009819B6" w:rsidRPr="00BA23DB" w14:paraId="2410166D" w14:textId="77777777" w:rsidTr="001147C2">
        <w:trPr>
          <w:trHeight w:val="850"/>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35DA1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Writing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FFCB4D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requirement to be in writing is met if the information is accessible so as to be usable for subsequent reference.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CB1978E" w14:textId="15044321" w:rsidR="009819B6" w:rsidRPr="008565B3" w:rsidRDefault="001147C2" w:rsidP="001147C2">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sidRPr="001147C2">
              <w:rPr>
                <w:lang w:val="en-US"/>
              </w:rPr>
              <w:t xml:space="preserve">A </w:t>
            </w:r>
            <w:r>
              <w:rPr>
                <w:lang w:val="en-US"/>
              </w:rPr>
              <w:t xml:space="preserve">requirement for a communication to be </w:t>
            </w:r>
            <w:r w:rsidRPr="001147C2">
              <w:rPr>
                <w:lang w:val="en-US"/>
              </w:rPr>
              <w:t xml:space="preserve">in writing </w:t>
            </w:r>
            <w:r>
              <w:rPr>
                <w:lang w:val="en-US"/>
              </w:rPr>
              <w:t xml:space="preserve">is met </w:t>
            </w:r>
            <w:r w:rsidRPr="001147C2">
              <w:rPr>
                <w:lang w:val="en-US"/>
              </w:rPr>
              <w:t xml:space="preserve">if it </w:t>
            </w:r>
            <w:r>
              <w:rPr>
                <w:lang w:val="en-US"/>
              </w:rPr>
              <w:t xml:space="preserve">is signed OR </w:t>
            </w:r>
            <w:r w:rsidRPr="001147C2">
              <w:rPr>
                <w:lang w:val="en-US"/>
              </w:rPr>
              <w:t xml:space="preserve">is conducted through </w:t>
            </w:r>
            <w:r>
              <w:rPr>
                <w:lang w:val="en-US"/>
              </w:rPr>
              <w:t>any means</w:t>
            </w:r>
            <w:r w:rsidRPr="001147C2">
              <w:rPr>
                <w:lang w:val="en-US"/>
              </w:rPr>
              <w:t xml:space="preserve"> that accurately reproduce its content</w:t>
            </w:r>
            <w:r>
              <w:rPr>
                <w:lang w:val="en-US"/>
              </w:rPr>
              <w:t xml:space="preserve">, and </w:t>
            </w:r>
            <w:r w:rsidRPr="001147C2">
              <w:rPr>
                <w:lang w:val="en-US"/>
              </w:rPr>
              <w:t>if any reliable method identifies the person involved</w:t>
            </w:r>
          </w:p>
        </w:tc>
      </w:tr>
      <w:tr w:rsidR="009819B6" w:rsidRPr="00D845C0" w14:paraId="043CB491"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839266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Original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152BB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3B6273" w14:textId="3FFAA1EE"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48BFC70C" w14:textId="77777777" w:rsidTr="00DB2DF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7E7C98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dispatch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22B62B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576C711" w14:textId="504DCE7C" w:rsidR="009819B6" w:rsidRPr="00DB2DFA" w:rsidRDefault="00DB2DFA">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 xml:space="preserve">Implemented </w:t>
            </w:r>
          </w:p>
        </w:tc>
      </w:tr>
      <w:tr w:rsidR="009819B6" w:rsidRPr="00D845C0" w14:paraId="38C80216" w14:textId="77777777" w:rsidTr="00DB2DF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043E91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receipt</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852912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receipt of an electronic communication is the time when it becomes capable of being retrieved by the addressee at an electronic address designated by the addressee.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297E8BB" w14:textId="0EA50916" w:rsidR="009819B6" w:rsidRPr="008565B3" w:rsidRDefault="00DB2DFA">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9819B6" w:rsidRPr="00D845C0" w14:paraId="697C067B"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C04C9A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Place of dispatch and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EB8E65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6691CA0" w14:textId="51940E2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0595D988"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6118D2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Invitations to make offers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A60DD4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Advertisement is to be considered as an invitation to make offers, unless it clearly indicates the intention of the party making the proposal to be bound in case of acceptance.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1167510" w14:textId="49F81CAD"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9819B6" w:rsidRPr="00BA23DB" w14:paraId="463B8FEB" w14:textId="77777777" w:rsidTr="00DB2DF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0C6ED7A"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Withdrawal due to error</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A914E9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party that made the error has the right to withdraw the portion of the electronic communication in which the input error was made if: </w:t>
            </w:r>
            <w:r w:rsidRPr="008565B3">
              <w:rPr>
                <w:rFonts w:ascii="Verdana" w:eastAsia="Verdana" w:hAnsi="Verdana" w:cs="Verdana"/>
                <w:sz w:val="20"/>
                <w:lang w:val="en-GB"/>
              </w:rPr>
              <w:br/>
              <w:t xml:space="preserve">(a) other party was notified of the error as soon as possible after having learned of the error and indicates that he or she made an error in the electronic communication; and </w:t>
            </w:r>
          </w:p>
          <w:p w14:paraId="437FE41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party that made the error has not used or received any material benefit or value from the goods or services, if any, received from the other party.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C5D66C0" w14:textId="3F309A29" w:rsidR="009819B6" w:rsidRPr="00DB2DFA" w:rsidRDefault="00DB2DFA">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 xml:space="preserve">Only customer has the right to withdraw, and only within 3 hours of discovery </w:t>
            </w:r>
          </w:p>
        </w:tc>
      </w:tr>
    </w:tbl>
    <w:p w14:paraId="6B9586B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III. Electronic signatures </w:t>
      </w:r>
    </w:p>
    <w:p w14:paraId="625E8754" w14:textId="08ED7D91"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2109"/>
        <w:gridCol w:w="4651"/>
        <w:gridCol w:w="2575"/>
      </w:tblGrid>
      <w:tr w:rsidR="00770F31" w14:paraId="6F94ADE3"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A81C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2589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9E28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770F31" w:rsidRPr="0007709F" w14:paraId="55FF2368" w14:textId="77777777" w:rsidTr="00770F3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5DFDA9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Signature 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D1E03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law recognizes any method of creating an electronic signature that satisfies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994A15B" w14:textId="60EFFDE1" w:rsidR="009819B6" w:rsidRPr="008565B3" w:rsidRDefault="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770F31" w:rsidRPr="00BA23DB" w14:paraId="0728401A" w14:textId="77777777" w:rsidTr="00770F3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7FE36A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Compliance with a requirement for a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8397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3941C22C" w14:textId="77777777" w:rsidR="009819B6" w:rsidRDefault="00770F31" w:rsidP="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Two-level approach to recognition (qualified and not qualified signatures).</w:t>
            </w:r>
          </w:p>
          <w:p w14:paraId="1E9AF40E" w14:textId="77777777" w:rsidR="00770F31" w:rsidRDefault="00770F31" w:rsidP="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p>
          <w:p w14:paraId="0961C752" w14:textId="33A609F9" w:rsidR="00770F31" w:rsidRPr="008565B3" w:rsidRDefault="00770F31" w:rsidP="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Identifier used in a digital record also fulfills requirement for a signature</w:t>
            </w:r>
          </w:p>
        </w:tc>
      </w:tr>
      <w:tr w:rsidR="00770F31" w:rsidRPr="0007709F" w14:paraId="6E109698" w14:textId="77777777" w:rsidTr="00770F3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E2FD87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Reliability of signature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90682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An electronic signature is considered to be reliable if: </w:t>
            </w:r>
          </w:p>
          <w:p w14:paraId="4AF99ED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(a) The signature creation data are linked to the signatory and to no other person; </w:t>
            </w:r>
          </w:p>
          <w:p w14:paraId="654EF71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signature creation data were, at the time of signing, under the control of the signatory and of no other person; </w:t>
            </w:r>
          </w:p>
          <w:p w14:paraId="21692F0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Any alteration to the electronic signature, made after the time of signing, is detectable; and </w:t>
            </w:r>
          </w:p>
          <w:p w14:paraId="5B3DEF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22AC691" w14:textId="06F8061C" w:rsidR="009819B6" w:rsidRPr="008565B3" w:rsidRDefault="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770F31" w:rsidRPr="0007709F" w14:paraId="37D81848" w14:textId="77777777" w:rsidTr="00770F3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D6E310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Conduct of the signatory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75C35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Signatory shall:</w:t>
            </w:r>
          </w:p>
          <w:p w14:paraId="077028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avoid unauthorized use of its signature creation data;</w:t>
            </w:r>
          </w:p>
          <w:p w14:paraId="74C6297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Without undue delay, notify that the signature creation data have been compromised; or there is a substantial risk that the signature creation data may have been compromised;</w:t>
            </w:r>
          </w:p>
          <w:p w14:paraId="7130EBB4" w14:textId="459527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Ensure the accuracy and completeness of all material representations that are included in the certificate;</w:t>
            </w:r>
          </w:p>
          <w:p w14:paraId="7CCF4ACE" w14:textId="062A144F"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775A8C3" w14:textId="567AFB9E" w:rsidR="009819B6" w:rsidRPr="008565B3" w:rsidRDefault="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770F31" w:rsidRPr="0007709F" w14:paraId="38B78428" w14:textId="77777777" w:rsidTr="00770F3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285B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Conduct of the certification service provider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F38B8F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Certification service provider shall:</w:t>
            </w:r>
          </w:p>
          <w:p w14:paraId="7E1DAA9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ensure the accuracy and completeness of all material representations made by it that are relevant to the certificate or that are included in the certificate;</w:t>
            </w:r>
          </w:p>
          <w:p w14:paraId="53260C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 Provide reasonably accessible means that enable a relying party to ascertain:</w:t>
            </w:r>
          </w:p>
          <w:p w14:paraId="5AB54E7F" w14:textId="3022085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The method used to identify the signatory;</w:t>
            </w:r>
          </w:p>
          <w:p w14:paraId="789149A8" w14:textId="1759C05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Any limitation on the purpose or value for which the signature creation data or the certificate may be used;</w:t>
            </w:r>
          </w:p>
          <w:p w14:paraId="78C3A4F8" w14:textId="69339D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That the signature creation data are valid and have not been compromised;</w:t>
            </w:r>
          </w:p>
          <w:p w14:paraId="049CB083" w14:textId="7C3F216E"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(iv) Any limitation on the scope or extent of liability stipulated by the certification service provider;</w:t>
            </w:r>
          </w:p>
          <w:p w14:paraId="0A2C5328" w14:textId="1CF274F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 Whether means exist for the signatory to give notice that the signature creation data have been compromised;</w:t>
            </w:r>
          </w:p>
          <w:p w14:paraId="617ED688" w14:textId="1C7E1940"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(vi) Whether a timely revocation service is offered;</w:t>
            </w:r>
          </w:p>
          <w:p w14:paraId="440DC30D" w14:textId="2C9B66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F00B1F2" w14:textId="693A956A" w:rsidR="009819B6" w:rsidRPr="008565B3" w:rsidRDefault="00770F3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770F31" w:rsidRPr="0007709F" w14:paraId="710B823A" w14:textId="77777777" w:rsidTr="008F66AB">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355B3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Requirements to certification service providers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9E5145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or to what extent, any systems, procedures and human resources utilized by a certification service provider are trustworthy, regard may be had to the following factors:</w:t>
            </w:r>
          </w:p>
          <w:p w14:paraId="244A4E1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Financial and human resources, including existence of assets;</w:t>
            </w:r>
          </w:p>
          <w:p w14:paraId="51A34F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Quality of hardware and software systems;</w:t>
            </w:r>
          </w:p>
          <w:p w14:paraId="01281EF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Procedures for processing of certificates and applications for certificates and retention of records;</w:t>
            </w:r>
          </w:p>
          <w:p w14:paraId="7B38B9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Availability of information to signatories identified in certificates and to potential relying parties;</w:t>
            </w:r>
          </w:p>
          <w:p w14:paraId="4A2F7B2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 Regularity and extent of audit by an independent body;</w:t>
            </w:r>
          </w:p>
          <w:p w14:paraId="1A9518E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 The existence of a declaration by the State, an accreditation body or the certification service provider regarding compliance with or existence of the foregoing; </w:t>
            </w:r>
          </w:p>
          <w:p w14:paraId="64E85E0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(g) Any other relevant factor.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16C4122" w14:textId="2906228B" w:rsidR="009819B6" w:rsidRPr="008565B3" w:rsidRDefault="008F66AB">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770F31" w:rsidRPr="0007709F" w14:paraId="02779F60" w14:textId="77777777" w:rsidTr="00DB063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18FD2D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relying party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598985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relying party shall bear the legal consequences of its failure:</w:t>
            </w:r>
          </w:p>
          <w:p w14:paraId="2A18FC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To take reasonable steps to verify the reliability of an electronic signature; or</w:t>
            </w:r>
          </w:p>
          <w:p w14:paraId="1B95CB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Where an electronic signature is supported by a certificate, to take reasonable steps:</w:t>
            </w:r>
          </w:p>
          <w:p w14:paraId="5CB69AC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To verify the validity, suspension or revocation of the certificate; and</w:t>
            </w:r>
          </w:p>
          <w:p w14:paraId="645BD0A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To observe any limitation with respect to the certificate.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16172A3" w14:textId="08883D12" w:rsidR="009819B6" w:rsidRPr="008565B3" w:rsidRDefault="00DB063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770F31" w:rsidRPr="0007709F" w14:paraId="71E075A0" w14:textId="77777777" w:rsidTr="00DB063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229D64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Recognition of foreign certificates and electronic signatures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A0E48A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106C8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C346A58" w14:textId="29885582" w:rsidR="009819B6" w:rsidRPr="008565B3" w:rsidRDefault="00DB063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bl>
    <w:p w14:paraId="5F60B5E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IV. Identity and trust services </w:t>
      </w:r>
    </w:p>
    <w:p w14:paraId="1C2FB25E" w14:textId="1D30CDD7"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13"/>
        <w:gridCol w:w="4243"/>
        <w:gridCol w:w="3179"/>
      </w:tblGrid>
      <w:tr w:rsidR="00513D16" w14:paraId="51AD1AF6"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DA8A4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F6ABB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7607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513D16" w:rsidRPr="0007709F" w14:paraId="2E08084F" w14:textId="77777777" w:rsidTr="00E65EB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F025C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E-identification and identity proofing</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E56DE0" w14:textId="60C547F4"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the identification of a person, or provides consequences for the absence of identification, that requirement is met with respect to identity management services if a reliable method is used </w:t>
            </w:r>
            <w:r w:rsidRPr="008565B3">
              <w:rPr>
                <w:rFonts w:ascii="Verdana" w:eastAsia="Verdana" w:hAnsi="Verdana" w:cs="Verdana"/>
                <w:sz w:val="20"/>
                <w:lang w:val="en-GB"/>
              </w:rPr>
              <w:lastRenderedPageBreak/>
              <w:t>for the identity proofing and electronic identification.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0FB50185" w14:textId="04164386" w:rsidR="009819B6" w:rsidRPr="00E65EBD" w:rsidRDefault="00E65EB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513D16" w:rsidRPr="00BA23DB" w14:paraId="5C622DC2" w14:textId="77777777" w:rsidTr="00E65EB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53392FF"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seals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69B016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legal person to affix a seal, or provides consequences for the absence of a seal, that requirement is met if a reliable method is used:</w:t>
            </w:r>
          </w:p>
          <w:p w14:paraId="239097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provide reliable assurance of the origin of the data message; and </w:t>
            </w:r>
          </w:p>
          <w:p w14:paraId="7D09D7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D951C0E" w14:textId="4B53F4E5" w:rsidR="009819B6" w:rsidRPr="00E65EBD" w:rsidRDefault="00E65EB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Requirement to affix a seal is fulfilled when an electronic signature is used</w:t>
            </w:r>
          </w:p>
        </w:tc>
      </w:tr>
      <w:tr w:rsidR="00513D16" w:rsidRPr="0007709F" w14:paraId="521C7EE1" w14:textId="77777777" w:rsidTr="00E65EB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D82623D"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timestamps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DFF942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information or data to be associated with a time and date, or provides consequences for the absence of a time and date, that requirement is met if a reliable method is used: </w:t>
            </w:r>
          </w:p>
          <w:p w14:paraId="60E4704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including by reference to the time zone; and </w:t>
            </w:r>
          </w:p>
          <w:p w14:paraId="36B3CC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time and date with the data message.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AB73943" w14:textId="40907F2B" w:rsidR="009819B6" w:rsidRPr="008565B3" w:rsidRDefault="00E65EB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513D16" w:rsidRPr="00BA23DB" w14:paraId="1EE4D752" w14:textId="77777777" w:rsidTr="00513D1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A3C58C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archiving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826985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retained, or provides consequences for the absence of retention, that requirement is met if a reliable method is used: </w:t>
            </w:r>
          </w:p>
          <w:p w14:paraId="2BB0325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make the information contained in the data message accessible so as to be usable for subsequent reference; </w:t>
            </w:r>
          </w:p>
          <w:p w14:paraId="218794B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indicate the time and date of archiving and associate that time and date with the data message; </w:t>
            </w:r>
          </w:p>
          <w:p w14:paraId="6961D06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To retain the data message in the format in which it was generated, sent or received, or in another format which can be demonstrated to detect any alteration to the data message after that time and date, apart from the addition of any endorsement and </w:t>
            </w:r>
            <w:r w:rsidRPr="008565B3">
              <w:rPr>
                <w:rFonts w:ascii="Verdana" w:eastAsia="Verdana" w:hAnsi="Verdana" w:cs="Verdana"/>
                <w:sz w:val="20"/>
                <w:lang w:val="en-GB"/>
              </w:rPr>
              <w:lastRenderedPageBreak/>
              <w:t xml:space="preserve">any change that arises in the normal course of communication, storage and display; and </w:t>
            </w:r>
          </w:p>
          <w:p w14:paraId="6885E78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To retain such information, if any, as enables the identification of the origin and destination of a data message and the time and date when it was sent or received.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40FD82B" w14:textId="5DB918E4" w:rsidR="009819B6" w:rsidRPr="00513D16" w:rsidRDefault="00513D1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Simple and qualified electronic archives retain the legal force of a digital record (qualified archives are used for retention of records signed by qualified signatures)</w:t>
            </w:r>
          </w:p>
        </w:tc>
      </w:tr>
      <w:tr w:rsidR="00513D16" w:rsidRPr="00BA23DB" w14:paraId="4F428094" w14:textId="77777777" w:rsidTr="00D75AC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C25154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registered delivery services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5ADBF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delivered by registered mail or similar service, or provides consequences for the absence of delivery, that requirement is met if a reliable method is used: </w:t>
            </w:r>
          </w:p>
          <w:p w14:paraId="359A42A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when the data message was received for delivery and the time and date when it was delivered; </w:t>
            </w:r>
          </w:p>
          <w:p w14:paraId="79FB4CD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38BED37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To identify the sender and the recipient.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BC2E7C7" w14:textId="3BEC34C9" w:rsidR="009819B6" w:rsidRPr="008565B3" w:rsidRDefault="00513D1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Sector-specific implementation</w:t>
            </w:r>
            <w:r w:rsidR="00D75AC7">
              <w:rPr>
                <w:lang w:val="en-US"/>
              </w:rPr>
              <w:t>: general possibility of usage of such services set forth by the Digital code, different regulations for different services</w:t>
            </w:r>
          </w:p>
        </w:tc>
      </w:tr>
      <w:tr w:rsidR="00513D16" w:rsidRPr="00BA23DB" w14:paraId="57A9E61D" w14:textId="77777777" w:rsidTr="005029B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54B8BF3" w14:textId="77777777" w:rsidR="009819B6"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Website authentication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44CF7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website authentication, or provides consequences for the absence of website authentication, that requirement is met if a reliable method is used: </w:t>
            </w:r>
          </w:p>
          <w:p w14:paraId="30D8723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identify the person who holds the domain name for the website; and </w:t>
            </w:r>
          </w:p>
          <w:p w14:paraId="7AA3257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person to the website.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E10C83" w14:textId="4B2BDBF3" w:rsidR="009819B6" w:rsidRPr="008565B3" w:rsidRDefault="005029B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 (just mentioned in the Digital code)</w:t>
            </w:r>
          </w:p>
        </w:tc>
      </w:tr>
      <w:tr w:rsidR="00513D16" w:rsidRPr="0007709F" w14:paraId="08DC6795" w14:textId="77777777" w:rsidTr="005029B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BEDCF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Ex post recognition of reliability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D35FAC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method shall be deemed to be as reliable as appropriate if proven in fact by or before a court or competent adjudicative body to have fulfilled the </w:t>
            </w:r>
            <w:r w:rsidRPr="008565B3">
              <w:rPr>
                <w:rFonts w:ascii="Verdana" w:eastAsia="Verdana" w:hAnsi="Verdana" w:cs="Verdana"/>
                <w:sz w:val="20"/>
                <w:lang w:val="en-GB"/>
              </w:rPr>
              <w:lastRenderedPageBreak/>
              <w:t xml:space="preserve">designated function, by itself or together with further evidence. </w:t>
            </w:r>
          </w:p>
          <w:p w14:paraId="7AE3C87D" w14:textId="388711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the reliability of the method, all relevant circumstances shall be taken into</w:t>
            </w:r>
            <w:r w:rsidR="00BF2996" w:rsidRPr="00BF2996">
              <w:rPr>
                <w:rFonts w:ascii="Verdana" w:eastAsia="Verdana" w:hAnsi="Verdana" w:cs="Verdana"/>
                <w:sz w:val="20"/>
                <w:lang w:val="en-US"/>
              </w:rPr>
              <w:t xml:space="preserve"> </w:t>
            </w:r>
            <w:r w:rsidRPr="008565B3">
              <w:rPr>
                <w:rFonts w:ascii="Verdana" w:eastAsia="Verdana" w:hAnsi="Verdana" w:cs="Verdana"/>
                <w:sz w:val="20"/>
                <w:lang w:val="en-GB"/>
              </w:rPr>
              <w:t>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0F8F55D4" w14:textId="11D2BA03" w:rsidR="009819B6" w:rsidRPr="008565B3" w:rsidRDefault="005029B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513D16" w:rsidRPr="0007709F" w14:paraId="211939F0" w14:textId="77777777" w:rsidTr="005029B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A7E7023" w14:textId="0B665388"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Ex ante 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A09A4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[person, organ or authority, whether public or private, specified by the enacting jurisdiction as competent] may designate identity management or trust services that are presumed reliable.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F4A512E" w14:textId="00851984" w:rsidR="009819B6" w:rsidRPr="008565B3" w:rsidRDefault="005029B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513D16" w:rsidRPr="0007709F" w14:paraId="7CB2F434" w14:textId="77777777" w:rsidTr="005561A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FD0791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Obligations in case of data breach</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BC1429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If a breach of security or loss of integrity occurs that has a significant impact on a service, the service provider shall, in accordance with the law: </w:t>
            </w:r>
          </w:p>
          <w:p w14:paraId="202464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Take all reasonable steps to contain the breach or loss, including, where appropriate, suspending or revoking the affected service; </w:t>
            </w:r>
          </w:p>
          <w:p w14:paraId="2F281EA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Remedy the breach or loss; and </w:t>
            </w:r>
          </w:p>
          <w:p w14:paraId="312D009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Notify the breach or loss.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67BF6AC" w14:textId="1AF01083" w:rsidR="009819B6" w:rsidRPr="005561AD" w:rsidRDefault="005561A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Digital resilience approach</w:t>
            </w:r>
          </w:p>
        </w:tc>
      </w:tr>
      <w:tr w:rsidR="00513D16" w:rsidRPr="0007709F" w14:paraId="7F5D90DE" w14:textId="77777777" w:rsidTr="005561A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4F794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Cross-border recognition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1BECABE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At least an equivalent level of reliability, where the reliability levels recognized by such jurisdictions are identical; or </w:t>
            </w:r>
          </w:p>
          <w:p w14:paraId="1E210C6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(b) Substantially equivalent or higher level of reliability, in all other cases. </w:t>
            </w:r>
          </w:p>
          <w:p w14:paraId="74E5CD9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F0C2113" w14:textId="6DF75D0E" w:rsidR="009819B6" w:rsidRPr="005561AD" w:rsidRDefault="005561A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bl>
    <w:p w14:paraId="5C926440"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V. Automated contracting </w:t>
      </w:r>
    </w:p>
    <w:p w14:paraId="771CC682" w14:textId="13B090E8"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896"/>
        <w:gridCol w:w="4355"/>
        <w:gridCol w:w="3084"/>
      </w:tblGrid>
      <w:tr w:rsidR="00742E13" w14:paraId="34B3DD61"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F8729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022E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8E0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742E13" w:rsidRPr="00BA23DB" w14:paraId="37137CC1" w14:textId="77777777" w:rsidTr="00742E1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34096B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Legal recognition of automated contracting</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FE311C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formed using an automated system shall not be denied validity or enforceability on the sole ground that no natural person reviewed or intervened in any action carried out in connection with the formation of the contract</w:t>
            </w:r>
          </w:p>
          <w:p w14:paraId="152E89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569CE13" w14:textId="08AA5441" w:rsidR="009819B6" w:rsidRPr="00742E13" w:rsidRDefault="00742E1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 (right to use smart contracts)</w:t>
            </w:r>
          </w:p>
        </w:tc>
      </w:tr>
      <w:tr w:rsidR="00742E13" w:rsidRPr="0007709F" w14:paraId="23CF1016" w14:textId="77777777" w:rsidTr="00742E1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1A5C76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Computer code and dynamic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FDF01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shall not be denied validity or enforceability on the sole ground that the terms of the contract are contained in data messages in the form of computer code.</w:t>
            </w:r>
          </w:p>
          <w:p w14:paraId="394B36D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or an action in connection with it shall not be denied validity or enforceability on the sole ground that it is based on information from a data source that provides information that changes periodically or continuously.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1584D43E" w14:textId="2F5C4133" w:rsidR="009819B6" w:rsidRPr="008565B3" w:rsidRDefault="00742E1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742E13" w:rsidRPr="00BA23DB" w14:paraId="44411A12" w14:textId="77777777" w:rsidTr="00742E1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59A8F35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Attribution of actions carried </w:t>
            </w:r>
            <w:r w:rsidRPr="008565B3">
              <w:rPr>
                <w:rFonts w:ascii="Verdana" w:eastAsia="Verdana" w:hAnsi="Verdana" w:cs="Verdana"/>
                <w:sz w:val="20"/>
                <w:lang w:val="en-GB"/>
              </w:rPr>
              <w:lastRenderedPageBreak/>
              <w:t>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418CE2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As between the parties to a contract, an action carried out by an automated </w:t>
            </w:r>
            <w:r w:rsidRPr="008565B3">
              <w:rPr>
                <w:rFonts w:ascii="Verdana" w:eastAsia="Verdana" w:hAnsi="Verdana" w:cs="Verdana"/>
                <w:sz w:val="20"/>
                <w:lang w:val="en-GB"/>
              </w:rPr>
              <w:lastRenderedPageBreak/>
              <w:t>system is attributed in accordance with a procedure agreed to by the parties. If this does not apply, an action carried out by an automated system is attributed to the person who uses the system for that purpose.</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54D32BB8" w14:textId="3B55B783" w:rsidR="009819B6" w:rsidRPr="008565B3" w:rsidRDefault="00742E1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 xml:space="preserve">Implemented as a part of the requirement to the parties to establish a dispute resolution </w:t>
            </w:r>
            <w:r>
              <w:rPr>
                <w:lang w:val="en-US"/>
              </w:rPr>
              <w:lastRenderedPageBreak/>
              <w:t>framework when using smart contracts</w:t>
            </w:r>
          </w:p>
        </w:tc>
      </w:tr>
      <w:tr w:rsidR="00742E13" w:rsidRPr="0007709F" w14:paraId="052679FF" w14:textId="77777777" w:rsidTr="00742E1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091F1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Unexpected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9E757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party to which the action is attributed could not reasonably have expected the action; and </w:t>
            </w:r>
          </w:p>
          <w:p w14:paraId="3323C8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other party knew or could reasonably be expected to have known that the party to which the action is attributed did not expect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ECC780D" w14:textId="3A4E9C09" w:rsidR="009819B6" w:rsidRPr="008565B3" w:rsidRDefault="00742E1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742E13" w:rsidRPr="0007709F" w14:paraId="0C1F4400" w14:textId="77777777" w:rsidTr="00742E1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022D513"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Non-avoidance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54FE8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Unless otherwise provided by law, a party shall not be relieved from the legal consequences of its failure to comply with a rule of law on the sole ground that it used an automated system.</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EB5B64C" w14:textId="14554480" w:rsidR="009819B6" w:rsidRPr="008565B3" w:rsidRDefault="00742E1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bl>
    <w:p w14:paraId="26ACC964"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Part VI. Electronic transferrable records</w:t>
      </w:r>
    </w:p>
    <w:p w14:paraId="4DB6CD61" w14:textId="030BEF90"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17"/>
        <w:gridCol w:w="5114"/>
        <w:gridCol w:w="2304"/>
      </w:tblGrid>
      <w:tr w:rsidR="009819B6" w14:paraId="64139DDA"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F1EA1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AE44C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90763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07709F" w14:paraId="041F7ECB" w14:textId="77777777" w:rsidTr="00AB7F0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F9BA2DD" w14:textId="6F9F2D7E"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Transferable documents or instruments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0C3DCF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transferable document or instrument, that requirement is met by an electronic record if: </w:t>
            </w:r>
          </w:p>
          <w:p w14:paraId="2501B4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electronic record contains the information that would be required to be contained in a transferable document or instrument; and </w:t>
            </w:r>
          </w:p>
          <w:p w14:paraId="4D78223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A reliable method is used:  </w:t>
            </w:r>
          </w:p>
          <w:p w14:paraId="14C5A38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xml:space="preserve">) To identify that electronic record as the electronic transferable record; </w:t>
            </w:r>
          </w:p>
          <w:p w14:paraId="7D1E213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(ii) To render that electronic record capable of being subject to control from its creation until it ceases to have any effect or validity; and </w:t>
            </w:r>
          </w:p>
          <w:p w14:paraId="07ED324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To retain the integrity of that electronic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1AE3B23" w14:textId="5C60CA13" w:rsidR="009819B6" w:rsidRPr="00DB2DFA" w:rsidRDefault="00DB2DFA">
            <w:pPr>
              <w:pStyle w:val="Base"/>
              <w:pBdr>
                <w:top w:val="none" w:sz="4" w:space="0" w:color="000000"/>
                <w:left w:val="none" w:sz="4" w:space="0" w:color="000000"/>
                <w:bottom w:val="none" w:sz="4" w:space="0" w:color="000000"/>
                <w:right w:val="none" w:sz="4" w:space="0" w:color="000000"/>
                <w:between w:val="none" w:sz="4" w:space="0" w:color="000000"/>
              </w:pBdr>
              <w:spacing w:before="0" w:after="0"/>
            </w:pPr>
            <w:r>
              <w:rPr>
                <w:lang w:val="en-US"/>
              </w:rPr>
              <w:t xml:space="preserve">No regulation </w:t>
            </w:r>
          </w:p>
        </w:tc>
      </w:tr>
      <w:tr w:rsidR="009819B6" w:rsidRPr="0007709F" w14:paraId="055A92C9" w14:textId="77777777" w:rsidTr="00AB7F0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74FD36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C6D6C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establish exclusive control of that electronic transferable record by a person; and </w:t>
            </w:r>
          </w:p>
          <w:p w14:paraId="2ED9AD7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identify that person as the person in 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FE0278F" w14:textId="5322EF9C" w:rsidR="009819B6" w:rsidRPr="008565B3" w:rsidRDefault="00AB7F0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07709F" w14:paraId="2680E652" w14:textId="77777777" w:rsidTr="00AB7F0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BDE9F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C62E8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F3E410" w14:textId="4ED43BF7" w:rsidR="009819B6" w:rsidRPr="008565B3" w:rsidRDefault="00AB7F0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07709F" w14:paraId="381E861C" w14:textId="77777777" w:rsidTr="00AB7F0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A10AD9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Endorsement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CE0062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endorsement in any form of a transferable document or instrument, that requirement is met with respect to an electronic transferable record if the information required for the endorsement is included in the electronic </w:t>
            </w:r>
            <w:r w:rsidRPr="008565B3">
              <w:rPr>
                <w:rFonts w:ascii="Verdana" w:eastAsia="Verdana" w:hAnsi="Verdana" w:cs="Verdana"/>
                <w:sz w:val="20"/>
                <w:lang w:val="en-GB"/>
              </w:rPr>
              <w:lastRenderedPageBreak/>
              <w:t>transferable record and that information is compliant with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1FAC36" w14:textId="610825E3" w:rsidR="009819B6" w:rsidRPr="008565B3" w:rsidRDefault="00AB7F0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9819B6" w:rsidRPr="0007709F" w14:paraId="150A869F" w14:textId="77777777" w:rsidTr="00AB7F0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60BA8A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Amendment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850F4C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4CAD999" w14:textId="508BF776" w:rsidR="009819B6" w:rsidRPr="008565B3" w:rsidRDefault="00AB7F0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bl>
    <w:p w14:paraId="272EBB7D"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Part VII. Other issues</w:t>
      </w:r>
    </w:p>
    <w:p w14:paraId="46DB7EB4" w14:textId="48A1379B"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Please </w:t>
      </w:r>
      <w:r>
        <w:rPr>
          <w:rFonts w:ascii="Verdana" w:eastAsia="Verdana" w:hAnsi="Verdana" w:cs="Verdana"/>
          <w:sz w:val="20"/>
          <w:szCs w:val="20"/>
          <w:lang w:val="en-GB"/>
        </w:rPr>
        <w:t xml:space="preserve">identify </w:t>
      </w:r>
      <w:r>
        <w:rPr>
          <w:rFonts w:ascii="Verdana" w:eastAsia="Verdana" w:hAnsi="Verdana" w:cs="Verdana"/>
          <w:sz w:val="20"/>
          <w:szCs w:val="20"/>
          <w:lang w:val="en-US"/>
        </w:rPr>
        <w:t xml:space="preserve">the </w:t>
      </w:r>
      <w:r>
        <w:rPr>
          <w:rFonts w:ascii="Verdana" w:eastAsia="Verdana" w:hAnsi="Verdana" w:cs="Verdana"/>
          <w:sz w:val="20"/>
          <w:szCs w:val="20"/>
          <w:lang w:val="en-GB"/>
        </w:rPr>
        <w:t>three most important</w:t>
      </w:r>
      <w:r w:rsidRPr="008565B3">
        <w:rPr>
          <w:rFonts w:ascii="Verdana" w:eastAsia="Verdana" w:hAnsi="Verdana" w:cs="Verdana"/>
          <w:sz w:val="20"/>
          <w:szCs w:val="20"/>
          <w:lang w:val="en-GB"/>
        </w:rPr>
        <w:t xml:space="preserve"> issues related to the electronic commerce or digital trade that are not covered by UNCITRAL documents</w:t>
      </w:r>
      <w:r>
        <w:rPr>
          <w:rFonts w:ascii="Verdana" w:eastAsia="Verdana" w:hAnsi="Verdana" w:cs="Verdana"/>
          <w:sz w:val="20"/>
          <w:szCs w:val="20"/>
          <w:lang w:val="en-GB"/>
        </w:rPr>
        <w:t>,</w:t>
      </w:r>
      <w:r w:rsidRPr="008565B3">
        <w:rPr>
          <w:rFonts w:ascii="Verdana" w:eastAsia="Verdana" w:hAnsi="Verdana" w:cs="Verdana"/>
          <w:sz w:val="20"/>
          <w:szCs w:val="20"/>
          <w:lang w:val="en-GB"/>
        </w:rPr>
        <w:t xml:space="preserve"> but are or will be regulated in your country</w:t>
      </w:r>
      <w:r w:rsidRPr="008565B3">
        <w:rPr>
          <w:rFonts w:ascii="Verdana" w:eastAsia="Verdana" w:hAnsi="Verdana" w:cs="Verdana"/>
          <w:lang w:val="en-US"/>
        </w:rPr>
        <w:t>:</w:t>
      </w:r>
    </w:p>
    <w:p w14:paraId="6D98A67D" w14:textId="0D8AF0E6" w:rsidR="009819B6" w:rsidRPr="00DB2DFA"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1. </w:t>
      </w:r>
      <w:r w:rsidR="00DB2DFA">
        <w:rPr>
          <w:rFonts w:ascii="Verdana" w:eastAsia="Verdana" w:hAnsi="Verdana" w:cs="Verdana"/>
          <w:sz w:val="20"/>
          <w:szCs w:val="20"/>
          <w:lang w:val="en-GB"/>
        </w:rPr>
        <w:t xml:space="preserve">Recognition of community rules with the right to </w:t>
      </w:r>
      <w:r w:rsidR="00DB2DFA">
        <w:rPr>
          <w:rFonts w:ascii="Verdana" w:eastAsia="Verdana" w:hAnsi="Verdana" w:cs="Verdana"/>
          <w:sz w:val="20"/>
          <w:szCs w:val="20"/>
          <w:lang w:val="en-US"/>
        </w:rPr>
        <w:t xml:space="preserve">participate in defining the rules of community, like DAOs and peer-to-peer digital trade platforms </w:t>
      </w:r>
    </w:p>
    <w:p w14:paraId="14380738" w14:textId="4605101A" w:rsidR="009819B6" w:rsidRPr="00DB2DFA"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2.</w:t>
      </w:r>
      <w:r w:rsidR="00DB2DFA">
        <w:rPr>
          <w:rFonts w:ascii="Verdana" w:eastAsia="Verdana" w:hAnsi="Verdana" w:cs="Verdana"/>
          <w:sz w:val="20"/>
          <w:szCs w:val="20"/>
          <w:lang w:val="en-GB"/>
        </w:rPr>
        <w:t xml:space="preserve"> Right to identity, enabling privacy in digital trade</w:t>
      </w:r>
    </w:p>
    <w:p w14:paraId="4479A1EC" w14:textId="31C51090"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3. </w:t>
      </w:r>
      <w:r w:rsidR="00DB2DFA">
        <w:rPr>
          <w:rFonts w:ascii="Verdana" w:eastAsia="Verdana" w:hAnsi="Verdana" w:cs="Verdana"/>
          <w:sz w:val="20"/>
          <w:szCs w:val="20"/>
          <w:lang w:val="en-GB"/>
        </w:rPr>
        <w:t>Digital rights on digital records</w:t>
      </w:r>
    </w:p>
    <w:sectPr w:rsidR="009819B6" w:rsidRPr="008565B3">
      <w:footerReference w:type="default" r:id="rId14"/>
      <w:headerReference w:type="first" r:id="rId15"/>
      <w:footerReference w:type="first" r:id="rId16"/>
      <w:pgSz w:w="11906" w:h="16838"/>
      <w:pgMar w:top="1549"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817720E" w16cex:dateUtc="2025-01-14T07:49:00Z"/>
  <w16cex:commentExtensible w16cex:durableId="6969EBEF" w16cex:dateUtc="2025-01-14T20:29:31Z"/>
  <w16cex:commentExtensible w16cex:durableId="3054D789" w16cex:dateUtc="2025-01-14T21:22:00Z"/>
  <w16cex:commentExtensible w16cex:durableId="50BE13FD" w16cex:dateUtc="2025-01-15T06:33:14Z"/>
  <w16cex:commentExtensible w16cex:durableId="2E2053F0" w16cex:dateUtc="2025-01-14T14:54:00Z"/>
  <w16cex:commentExtensible w16cex:durableId="184B67F6" w16cex:dateUtc="2025-01-14T20:28:22Z"/>
  <w16cex:commentExtensible w16cex:durableId="4EBCFDE6" w16cex:dateUtc="2025-01-14T21:08:55Z"/>
  <w16cex:commentExtensible w16cex:durableId="6D32E05E" w16cex:dateUtc="2025-01-14T08:47:00Z"/>
  <w16cex:commentExtensible w16cex:durableId="3E2E65CD" w16cex:dateUtc="2025-01-14T14:54:00Z"/>
  <w16cex:commentExtensible w16cex:durableId="7D2EE47C" w16cex:dateUtc="2025-01-14T20:26:37Z"/>
  <w16cex:commentExtensible w16cex:durableId="25B1C127" w16cex:dateUtc="2025-01-14T14:52:00Z"/>
  <w16cex:commentExtensible w16cex:durableId="33E7804D" w16cex:dateUtc="2025-01-14T20:25:21Z"/>
  <w16cex:commentExtensible w16cex:durableId="112C6E36" w16cex:dateUtc="2025-01-14T21:20:01Z"/>
  <w16cex:commentExtensible w16cex:durableId="6A123691" w16cex:dateUtc="2025-01-15T06:21:23Z"/>
  <w16cex:commentExtensible w16cex:durableId="178CA29D" w16cex:dateUtc="2025-01-14T14:51:00Z"/>
  <w16cex:commentExtensible w16cex:durableId="4CAE5855" w16cex:dateUtc="2025-01-14T20:23:57Z"/>
  <w16cex:commentExtensible w16cex:durableId="16540C2F" w16cex:dateUtc="2025-01-14T21:07:26Z"/>
  <w16cex:commentExtensible w16cex:durableId="73631553" w16cex:dateUtc="2025-01-15T06:03:15Z"/>
  <w16cex:commentExtensible w16cex:durableId="78CB6D89" w16cex:dateUtc="2025-01-14T14:50:00Z"/>
  <w16cex:commentExtensible w16cex:durableId="040E5653" w16cex:dateUtc="2025-01-14T20:23:09Z"/>
  <w16cex:commentExtensible w16cex:durableId="7E7331AF" w16cex:dateUtc="2025-01-14T14:46:00Z"/>
  <w16cex:commentExtensible w16cex:durableId="236BC9AD" w16cex:dateUtc="2025-01-14T20:14:15Z"/>
  <w16cex:commentExtensible w16cex:durableId="5A5BEED4" w16cex:dateUtc="2025-01-14T21:00:00Z"/>
  <w16cex:commentExtensible w16cex:durableId="2B4412A4" w16cex:dateUtc="2025-01-15T06:02:18Z"/>
  <w16cex:commentExtensible w16cex:durableId="2CDB6B71" w16cex:dateUtc="2025-01-15T06:15:58Z"/>
  <w16cex:commentExtensible w16cex:durableId="138B54B3" w16cex:dateUtc="2025-01-14T14:43:00Z"/>
  <w16cex:commentExtensible w16cex:durableId="44E633EE" w16cex:dateUtc="2025-01-14T14:39:00Z"/>
  <w16cex:commentExtensible w16cex:durableId="0F270FA8" w16cex:dateUtc="2025-01-14T20:09:49Z"/>
  <w16cex:commentExtensible w16cex:durableId="2461AF7D" w16cex:dateUtc="2025-01-14T21:16:49Z"/>
  <w16cex:commentExtensible w16cex:durableId="47EA673B" w16cex:dateUtc="2025-01-14T14:38:00Z"/>
  <w16cex:commentExtensible w16cex:durableId="1666D887" w16cex:dateUtc="2025-01-14T19:39:04Z"/>
  <w16cex:commentExtensible w16cex:durableId="5C791F7F" w16cex:dateUtc="2025-01-14T19:22:05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0A370" w14:textId="77777777" w:rsidR="000E23AA" w:rsidRDefault="000E23AA">
      <w:pPr>
        <w:spacing w:after="0" w:line="240" w:lineRule="auto"/>
      </w:pPr>
      <w:r>
        <w:separator/>
      </w:r>
    </w:p>
  </w:endnote>
  <w:endnote w:type="continuationSeparator" w:id="0">
    <w:p w14:paraId="5841C08D" w14:textId="77777777" w:rsidR="000E23AA" w:rsidRDefault="000E2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Arial"/>
    <w:charset w:val="CC"/>
    <w:family w:val="swiss"/>
    <w:pitch w:val="variable"/>
    <w:sig w:usb0="00000001" w:usb1="5000204B" w:usb2="0000002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9791762"/>
      <w:docPartObj>
        <w:docPartGallery w:val="Page Numbers (Bottom of Page)"/>
        <w:docPartUnique/>
      </w:docPartObj>
    </w:sdtPr>
    <w:sdtEndPr/>
    <w:sdtContent>
      <w:p w14:paraId="67B29F15" w14:textId="569E7EB7" w:rsidR="009819B6" w:rsidRDefault="007708AC">
        <w:pPr>
          <w:framePr w:wrap="none" w:vAnchor="text" w:hAnchor="margin" w:xAlign="right" w:y="1"/>
          <w:pBdr>
            <w:top w:val="none" w:sz="4" w:space="0" w:color="000000"/>
            <w:left w:val="none" w:sz="4" w:space="0" w:color="000000"/>
            <w:bottom w:val="none" w:sz="4" w:space="0" w:color="000000"/>
            <w:right w:val="none" w:sz="4" w:space="0" w:color="000000"/>
            <w:between w:val="none" w:sz="4" w:space="0" w:color="000000"/>
          </w:pBdr>
        </w:pPr>
        <w:r>
          <w:rPr>
            <w:rStyle w:val="aff2"/>
            <w:sz w:val="16"/>
            <w:szCs w:val="16"/>
          </w:rPr>
          <w:fldChar w:fldCharType="begin"/>
        </w:r>
        <w:r>
          <w:rPr>
            <w:rStyle w:val="aff2"/>
            <w:sz w:val="16"/>
            <w:szCs w:val="16"/>
          </w:rPr>
          <w:instrText xml:space="preserve"> PAGE </w:instrText>
        </w:r>
        <w:r>
          <w:rPr>
            <w:rStyle w:val="aff2"/>
            <w:sz w:val="16"/>
            <w:szCs w:val="16"/>
          </w:rPr>
          <w:fldChar w:fldCharType="separate"/>
        </w:r>
        <w:r w:rsidR="00BA23DB">
          <w:rPr>
            <w:rStyle w:val="aff2"/>
            <w:noProof/>
            <w:sz w:val="16"/>
            <w:szCs w:val="16"/>
          </w:rPr>
          <w:t>3</w:t>
        </w:r>
        <w:r>
          <w:rPr>
            <w:rStyle w:val="aff2"/>
            <w:sz w:val="16"/>
            <w:szCs w:val="16"/>
          </w:rPr>
          <w:fldChar w:fldCharType="end"/>
        </w:r>
      </w:p>
    </w:sdtContent>
  </w:sdt>
  <w:p w14:paraId="4A8DCE62" w14:textId="77777777" w:rsidR="009819B6" w:rsidRDefault="007708AC">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pPr>
    <w:r>
      <w:rPr>
        <w:noProof/>
        <w:sz w:val="16"/>
        <w:szCs w:val="16"/>
        <w:lang w:eastAsia="ru-RU"/>
      </w:rPr>
      <mc:AlternateContent>
        <mc:Choice Requires="wpg">
          <w:drawing>
            <wp:anchor distT="0" distB="0" distL="114300" distR="114300" simplePos="0" relativeHeight="251665408" behindDoc="1" locked="0" layoutInCell="1" allowOverlap="1" wp14:anchorId="0FCFAE16" wp14:editId="2D5640DC">
              <wp:simplePos x="0" y="0"/>
              <wp:positionH relativeFrom="margin">
                <wp:posOffset>-1905</wp:posOffset>
              </wp:positionH>
              <wp:positionV relativeFrom="paragraph">
                <wp:posOffset>74351</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hape 1" o:spid="_x0000_s1" style="position:absolute;left:0;text-align:left;z-index:-251665408;mso-wrap-distance-left:9.00pt;mso-wrap-distance-top:0.00pt;mso-wrap-distance-right:9.00pt;mso-wrap-distance-bottom:0.00pt;visibility:visible;" from="-0.1pt,5.9pt" to="441.0pt,5.9pt" filled="f" strokecolor="#000000" strokeweight="1.25pt">
              <v:stroke dashstyle="solid"/>
            </v:line>
          </w:pict>
        </mc:Fallback>
      </mc:AlternateContent>
    </w:r>
    <w:sdt>
      <w:sdtPr>
        <w:rPr>
          <w:sz w:val="16"/>
          <w:szCs w:val="16"/>
        </w:rPr>
        <w:id w:val="55527276"/>
        <w:showingPlcHdr/>
        <w:docPartObj>
          <w:docPartGallery w:val="Page Numbers (Bottom of Page)"/>
          <w:docPartUnique/>
        </w:docPartObj>
      </w:sdtPr>
      <w:sdtEndPr/>
      <w:sdtContent>
        <w:r>
          <w:t>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99B5" w14:textId="77777777" w:rsidR="009819B6" w:rsidRDefault="007708AC">
    <w:pPr>
      <w:pStyle w:val="aff0"/>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1312" behindDoc="1" locked="0" layoutInCell="1" allowOverlap="1" wp14:anchorId="39D9A5C4" wp14:editId="6DB91DC0">
              <wp:simplePos x="0" y="0"/>
              <wp:positionH relativeFrom="column">
                <wp:posOffset>0</wp:posOffset>
              </wp:positionH>
              <wp:positionV relativeFrom="paragraph">
                <wp:posOffset>0</wp:posOffset>
              </wp:positionV>
              <wp:extent cx="5942965" cy="491014"/>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5596" name="Graphic 333975596"/>
                      <pic:cNvPicPr>
                        <a:picLocks noChangeAspect="1"/>
                      </pic:cNvPicPr>
                    </pic:nvPicPr>
                    <pic:blipFill>
                      <a:blip r:embed="rId1">
                        <a:extLs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pic:blipFill>
                    <pic:spPr bwMode="auto">
                      <a:xfrm>
                        <a:off x="0" y="0"/>
                        <a:ext cx="5942965" cy="491014"/>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1312;o:allowoverlap:true;o:allowincell:true;mso-position-horizontal-relative:text;margin-left:0.00pt;mso-position-horizontal:absolute;mso-position-vertical-relative:text;margin-top:0.00pt;mso-position-vertical:absolute;width:467.95pt;height:38.66pt;mso-wrap-distance-left:9.00pt;mso-wrap-distance-top:0.00pt;mso-wrap-distance-right:9.00pt;mso-wrap-distance-bottom:0.00pt;" stroked="false">
              <v:path textboxrect="0,0,0,0"/>
              <v:imagedata r:id="rId3"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7260E" w14:textId="77777777" w:rsidR="000E23AA" w:rsidRDefault="000E23AA">
      <w:pPr>
        <w:spacing w:after="0" w:line="240" w:lineRule="auto"/>
      </w:pPr>
      <w:r>
        <w:separator/>
      </w:r>
    </w:p>
  </w:footnote>
  <w:footnote w:type="continuationSeparator" w:id="0">
    <w:p w14:paraId="744018DF" w14:textId="77777777" w:rsidR="000E23AA" w:rsidRDefault="000E23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0923" w14:textId="77777777" w:rsidR="009819B6" w:rsidRDefault="007708AC">
    <w:pPr>
      <w:pStyle w:val="afe"/>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3360" behindDoc="1" locked="0" layoutInCell="1" allowOverlap="1" wp14:anchorId="6102FA9B" wp14:editId="4A54FF79">
              <wp:simplePos x="0" y="0"/>
              <wp:positionH relativeFrom="column">
                <wp:posOffset>0</wp:posOffset>
              </wp:positionH>
              <wp:positionV relativeFrom="paragraph">
                <wp:posOffset>-635</wp:posOffset>
              </wp:positionV>
              <wp:extent cx="1656779"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00093" name="Graphic 1820500093"/>
                      <pic:cNvPicPr>
                        <a:picLocks noChangeAspect="1"/>
                      </pic:cNvPicPr>
                    </pic:nvPicPr>
                    <pic:blipFill>
                      <a:blip r:embed="rId1">
                        <a:extLs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pic:blipFill>
                    <pic:spPr bwMode="auto">
                      <a:xfrm>
                        <a:off x="0" y="0"/>
                        <a:ext cx="1694811" cy="434567"/>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3360;o:allowoverlap:true;o:allowincell:true;mso-position-horizontal-relative:text;margin-left:0.00pt;mso-position-horizontal:absolute;mso-position-vertical-relative:text;margin-top:-0.05pt;mso-position-vertical:absolute;width:130.46pt;height:33.45pt;mso-wrap-distance-left:9.00pt;mso-wrap-distance-top:0.00pt;mso-wrap-distance-right:9.00pt;mso-wrap-distance-bottom:0.00pt;"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B12"/>
    <w:multiLevelType w:val="hybridMultilevel"/>
    <w:tmpl w:val="02C0BF76"/>
    <w:lvl w:ilvl="0" w:tplc="8728B02E">
      <w:start w:val="1"/>
      <w:numFmt w:val="bullet"/>
      <w:lvlText w:val=""/>
      <w:lvlJc w:val="left"/>
      <w:pPr>
        <w:ind w:left="720" w:hanging="360"/>
      </w:pPr>
      <w:rPr>
        <w:rFonts w:ascii="Wingdings" w:hAnsi="Wingdings" w:hint="default"/>
      </w:rPr>
    </w:lvl>
    <w:lvl w:ilvl="1" w:tplc="6316B780">
      <w:start w:val="1"/>
      <w:numFmt w:val="bullet"/>
      <w:lvlText w:val="o"/>
      <w:lvlJc w:val="left"/>
      <w:pPr>
        <w:ind w:left="1440" w:hanging="360"/>
      </w:pPr>
      <w:rPr>
        <w:rFonts w:ascii="Courier New" w:hAnsi="Courier New" w:cs="Courier New" w:hint="default"/>
      </w:rPr>
    </w:lvl>
    <w:lvl w:ilvl="2" w:tplc="3ABA6F94">
      <w:start w:val="1"/>
      <w:numFmt w:val="bullet"/>
      <w:lvlText w:val=""/>
      <w:lvlJc w:val="left"/>
      <w:pPr>
        <w:ind w:left="2160" w:hanging="360"/>
      </w:pPr>
      <w:rPr>
        <w:rFonts w:ascii="Wingdings" w:hAnsi="Wingdings" w:hint="default"/>
      </w:rPr>
    </w:lvl>
    <w:lvl w:ilvl="3" w:tplc="EF50854A">
      <w:start w:val="1"/>
      <w:numFmt w:val="bullet"/>
      <w:lvlText w:val=""/>
      <w:lvlJc w:val="left"/>
      <w:pPr>
        <w:ind w:left="2880" w:hanging="360"/>
      </w:pPr>
      <w:rPr>
        <w:rFonts w:ascii="Symbol" w:hAnsi="Symbol" w:hint="default"/>
      </w:rPr>
    </w:lvl>
    <w:lvl w:ilvl="4" w:tplc="E5DA96B2">
      <w:start w:val="1"/>
      <w:numFmt w:val="bullet"/>
      <w:lvlText w:val="o"/>
      <w:lvlJc w:val="left"/>
      <w:pPr>
        <w:ind w:left="3600" w:hanging="360"/>
      </w:pPr>
      <w:rPr>
        <w:rFonts w:ascii="Courier New" w:hAnsi="Courier New" w:cs="Courier New" w:hint="default"/>
      </w:rPr>
    </w:lvl>
    <w:lvl w:ilvl="5" w:tplc="BD16AEF6">
      <w:start w:val="1"/>
      <w:numFmt w:val="bullet"/>
      <w:lvlText w:val=""/>
      <w:lvlJc w:val="left"/>
      <w:pPr>
        <w:ind w:left="4320" w:hanging="360"/>
      </w:pPr>
      <w:rPr>
        <w:rFonts w:ascii="Wingdings" w:hAnsi="Wingdings" w:hint="default"/>
      </w:rPr>
    </w:lvl>
    <w:lvl w:ilvl="6" w:tplc="9AC4C748">
      <w:start w:val="1"/>
      <w:numFmt w:val="bullet"/>
      <w:lvlText w:val=""/>
      <w:lvlJc w:val="left"/>
      <w:pPr>
        <w:ind w:left="5040" w:hanging="360"/>
      </w:pPr>
      <w:rPr>
        <w:rFonts w:ascii="Symbol" w:hAnsi="Symbol" w:hint="default"/>
      </w:rPr>
    </w:lvl>
    <w:lvl w:ilvl="7" w:tplc="CEECD16C">
      <w:start w:val="1"/>
      <w:numFmt w:val="bullet"/>
      <w:lvlText w:val="o"/>
      <w:lvlJc w:val="left"/>
      <w:pPr>
        <w:ind w:left="5760" w:hanging="360"/>
      </w:pPr>
      <w:rPr>
        <w:rFonts w:ascii="Courier New" w:hAnsi="Courier New" w:cs="Courier New" w:hint="default"/>
      </w:rPr>
    </w:lvl>
    <w:lvl w:ilvl="8" w:tplc="A574F458">
      <w:start w:val="1"/>
      <w:numFmt w:val="bullet"/>
      <w:lvlText w:val=""/>
      <w:lvlJc w:val="left"/>
      <w:pPr>
        <w:ind w:left="6480" w:hanging="360"/>
      </w:pPr>
      <w:rPr>
        <w:rFonts w:ascii="Wingdings" w:hAnsi="Wingdings" w:hint="default"/>
      </w:rPr>
    </w:lvl>
  </w:abstractNum>
  <w:abstractNum w:abstractNumId="1" w15:restartNumberingAfterBreak="0">
    <w:nsid w:val="1DCC5786"/>
    <w:multiLevelType w:val="hybridMultilevel"/>
    <w:tmpl w:val="E1226FEA"/>
    <w:lvl w:ilvl="0" w:tplc="C9147C24">
      <w:start w:val="1"/>
      <w:numFmt w:val="bullet"/>
      <w:lvlText w:val=""/>
      <w:lvlJc w:val="left"/>
      <w:pPr>
        <w:ind w:left="720" w:hanging="360"/>
      </w:pPr>
      <w:rPr>
        <w:rFonts w:ascii="Wingdings" w:hAnsi="Wingdings" w:hint="default"/>
      </w:rPr>
    </w:lvl>
    <w:lvl w:ilvl="1" w:tplc="165E76E6">
      <w:start w:val="1"/>
      <w:numFmt w:val="bullet"/>
      <w:lvlText w:val="o"/>
      <w:lvlJc w:val="left"/>
      <w:pPr>
        <w:ind w:left="1440" w:hanging="360"/>
      </w:pPr>
      <w:rPr>
        <w:rFonts w:ascii="Courier New" w:hAnsi="Courier New" w:cs="Courier New" w:hint="default"/>
      </w:rPr>
    </w:lvl>
    <w:lvl w:ilvl="2" w:tplc="D7D6BFBC">
      <w:start w:val="1"/>
      <w:numFmt w:val="bullet"/>
      <w:lvlText w:val=""/>
      <w:lvlJc w:val="left"/>
      <w:pPr>
        <w:ind w:left="2160" w:hanging="360"/>
      </w:pPr>
      <w:rPr>
        <w:rFonts w:ascii="Wingdings" w:hAnsi="Wingdings" w:hint="default"/>
      </w:rPr>
    </w:lvl>
    <w:lvl w:ilvl="3" w:tplc="0610D936">
      <w:start w:val="1"/>
      <w:numFmt w:val="bullet"/>
      <w:lvlText w:val=""/>
      <w:lvlJc w:val="left"/>
      <w:pPr>
        <w:ind w:left="2880" w:hanging="360"/>
      </w:pPr>
      <w:rPr>
        <w:rFonts w:ascii="Symbol" w:hAnsi="Symbol" w:hint="default"/>
      </w:rPr>
    </w:lvl>
    <w:lvl w:ilvl="4" w:tplc="7F3209CC">
      <w:start w:val="1"/>
      <w:numFmt w:val="bullet"/>
      <w:lvlText w:val="o"/>
      <w:lvlJc w:val="left"/>
      <w:pPr>
        <w:ind w:left="3600" w:hanging="360"/>
      </w:pPr>
      <w:rPr>
        <w:rFonts w:ascii="Courier New" w:hAnsi="Courier New" w:cs="Courier New" w:hint="default"/>
      </w:rPr>
    </w:lvl>
    <w:lvl w:ilvl="5" w:tplc="43A205E2">
      <w:start w:val="1"/>
      <w:numFmt w:val="bullet"/>
      <w:lvlText w:val=""/>
      <w:lvlJc w:val="left"/>
      <w:pPr>
        <w:ind w:left="4320" w:hanging="360"/>
      </w:pPr>
      <w:rPr>
        <w:rFonts w:ascii="Wingdings" w:hAnsi="Wingdings" w:hint="default"/>
      </w:rPr>
    </w:lvl>
    <w:lvl w:ilvl="6" w:tplc="24F8C7FC">
      <w:start w:val="1"/>
      <w:numFmt w:val="bullet"/>
      <w:lvlText w:val=""/>
      <w:lvlJc w:val="left"/>
      <w:pPr>
        <w:ind w:left="5040" w:hanging="360"/>
      </w:pPr>
      <w:rPr>
        <w:rFonts w:ascii="Symbol" w:hAnsi="Symbol" w:hint="default"/>
      </w:rPr>
    </w:lvl>
    <w:lvl w:ilvl="7" w:tplc="B9F45CB6">
      <w:start w:val="1"/>
      <w:numFmt w:val="bullet"/>
      <w:lvlText w:val="o"/>
      <w:lvlJc w:val="left"/>
      <w:pPr>
        <w:ind w:left="5760" w:hanging="360"/>
      </w:pPr>
      <w:rPr>
        <w:rFonts w:ascii="Courier New" w:hAnsi="Courier New" w:cs="Courier New" w:hint="default"/>
      </w:rPr>
    </w:lvl>
    <w:lvl w:ilvl="8" w:tplc="50B0D2D4">
      <w:start w:val="1"/>
      <w:numFmt w:val="bullet"/>
      <w:lvlText w:val=""/>
      <w:lvlJc w:val="left"/>
      <w:pPr>
        <w:ind w:left="6480" w:hanging="360"/>
      </w:pPr>
      <w:rPr>
        <w:rFonts w:ascii="Wingdings" w:hAnsi="Wingdings" w:hint="default"/>
      </w:rPr>
    </w:lvl>
  </w:abstractNum>
  <w:abstractNum w:abstractNumId="2" w15:restartNumberingAfterBreak="0">
    <w:nsid w:val="2ED25A24"/>
    <w:multiLevelType w:val="hybridMultilevel"/>
    <w:tmpl w:val="CE86A474"/>
    <w:lvl w:ilvl="0" w:tplc="8F02D31C">
      <w:start w:val="1"/>
      <w:numFmt w:val="bullet"/>
      <w:lvlText w:val=""/>
      <w:lvlJc w:val="left"/>
      <w:pPr>
        <w:ind w:left="720" w:hanging="360"/>
      </w:pPr>
      <w:rPr>
        <w:rFonts w:ascii="Wingdings" w:hAnsi="Wingdings" w:hint="default"/>
      </w:rPr>
    </w:lvl>
    <w:lvl w:ilvl="1" w:tplc="50FC6994">
      <w:start w:val="1"/>
      <w:numFmt w:val="bullet"/>
      <w:lvlText w:val="o"/>
      <w:lvlJc w:val="left"/>
      <w:pPr>
        <w:ind w:left="1440" w:hanging="360"/>
      </w:pPr>
      <w:rPr>
        <w:rFonts w:ascii="Courier New" w:hAnsi="Courier New" w:cs="Courier New" w:hint="default"/>
      </w:rPr>
    </w:lvl>
    <w:lvl w:ilvl="2" w:tplc="E7787BAE">
      <w:start w:val="1"/>
      <w:numFmt w:val="bullet"/>
      <w:lvlText w:val=""/>
      <w:lvlJc w:val="left"/>
      <w:pPr>
        <w:ind w:left="2160" w:hanging="360"/>
      </w:pPr>
      <w:rPr>
        <w:rFonts w:ascii="Wingdings" w:hAnsi="Wingdings" w:hint="default"/>
      </w:rPr>
    </w:lvl>
    <w:lvl w:ilvl="3" w:tplc="5A08559A">
      <w:start w:val="1"/>
      <w:numFmt w:val="bullet"/>
      <w:lvlText w:val=""/>
      <w:lvlJc w:val="left"/>
      <w:pPr>
        <w:ind w:left="2880" w:hanging="360"/>
      </w:pPr>
      <w:rPr>
        <w:rFonts w:ascii="Symbol" w:hAnsi="Symbol" w:hint="default"/>
      </w:rPr>
    </w:lvl>
    <w:lvl w:ilvl="4" w:tplc="7B3C2D3E">
      <w:start w:val="1"/>
      <w:numFmt w:val="bullet"/>
      <w:lvlText w:val="o"/>
      <w:lvlJc w:val="left"/>
      <w:pPr>
        <w:ind w:left="3600" w:hanging="360"/>
      </w:pPr>
      <w:rPr>
        <w:rFonts w:ascii="Courier New" w:hAnsi="Courier New" w:cs="Courier New" w:hint="default"/>
      </w:rPr>
    </w:lvl>
    <w:lvl w:ilvl="5" w:tplc="05B2FAB8">
      <w:start w:val="1"/>
      <w:numFmt w:val="bullet"/>
      <w:lvlText w:val=""/>
      <w:lvlJc w:val="left"/>
      <w:pPr>
        <w:ind w:left="4320" w:hanging="360"/>
      </w:pPr>
      <w:rPr>
        <w:rFonts w:ascii="Wingdings" w:hAnsi="Wingdings" w:hint="default"/>
      </w:rPr>
    </w:lvl>
    <w:lvl w:ilvl="6" w:tplc="1B9A5A92">
      <w:start w:val="1"/>
      <w:numFmt w:val="bullet"/>
      <w:lvlText w:val=""/>
      <w:lvlJc w:val="left"/>
      <w:pPr>
        <w:ind w:left="5040" w:hanging="360"/>
      </w:pPr>
      <w:rPr>
        <w:rFonts w:ascii="Symbol" w:hAnsi="Symbol" w:hint="default"/>
      </w:rPr>
    </w:lvl>
    <w:lvl w:ilvl="7" w:tplc="2BF0F028">
      <w:start w:val="1"/>
      <w:numFmt w:val="bullet"/>
      <w:lvlText w:val="o"/>
      <w:lvlJc w:val="left"/>
      <w:pPr>
        <w:ind w:left="5760" w:hanging="360"/>
      </w:pPr>
      <w:rPr>
        <w:rFonts w:ascii="Courier New" w:hAnsi="Courier New" w:cs="Courier New" w:hint="default"/>
      </w:rPr>
    </w:lvl>
    <w:lvl w:ilvl="8" w:tplc="D7406DD4">
      <w:start w:val="1"/>
      <w:numFmt w:val="bullet"/>
      <w:lvlText w:val=""/>
      <w:lvlJc w:val="left"/>
      <w:pPr>
        <w:ind w:left="6480" w:hanging="360"/>
      </w:pPr>
      <w:rPr>
        <w:rFonts w:ascii="Wingdings" w:hAnsi="Wingdings" w:hint="default"/>
      </w:rPr>
    </w:lvl>
  </w:abstractNum>
  <w:abstractNum w:abstractNumId="3" w15:restartNumberingAfterBreak="0">
    <w:nsid w:val="6CE2584D"/>
    <w:multiLevelType w:val="hybridMultilevel"/>
    <w:tmpl w:val="762049AC"/>
    <w:lvl w:ilvl="0" w:tplc="C0EA5AC8">
      <w:start w:val="1"/>
      <w:numFmt w:val="bullet"/>
      <w:lvlText w:val="o"/>
      <w:lvlJc w:val="left"/>
      <w:pPr>
        <w:ind w:left="720" w:hanging="360"/>
      </w:pPr>
      <w:rPr>
        <w:rFonts w:ascii="Courier New" w:hAnsi="Courier New" w:cs="Courier New" w:hint="default"/>
      </w:rPr>
    </w:lvl>
    <w:lvl w:ilvl="1" w:tplc="3246F044">
      <w:start w:val="1"/>
      <w:numFmt w:val="bullet"/>
      <w:lvlText w:val="o"/>
      <w:lvlJc w:val="left"/>
      <w:pPr>
        <w:ind w:left="1440" w:hanging="360"/>
      </w:pPr>
      <w:rPr>
        <w:rFonts w:ascii="Courier New" w:hAnsi="Courier New" w:cs="Courier New" w:hint="default"/>
      </w:rPr>
    </w:lvl>
    <w:lvl w:ilvl="2" w:tplc="EF809BC6">
      <w:start w:val="1"/>
      <w:numFmt w:val="bullet"/>
      <w:lvlText w:val=""/>
      <w:lvlJc w:val="left"/>
      <w:pPr>
        <w:ind w:left="2160" w:hanging="360"/>
      </w:pPr>
      <w:rPr>
        <w:rFonts w:ascii="Wingdings" w:hAnsi="Wingdings" w:hint="default"/>
      </w:rPr>
    </w:lvl>
    <w:lvl w:ilvl="3" w:tplc="74EA9AFC">
      <w:start w:val="1"/>
      <w:numFmt w:val="bullet"/>
      <w:lvlText w:val=""/>
      <w:lvlJc w:val="left"/>
      <w:pPr>
        <w:ind w:left="2880" w:hanging="360"/>
      </w:pPr>
      <w:rPr>
        <w:rFonts w:ascii="Symbol" w:hAnsi="Symbol" w:hint="default"/>
      </w:rPr>
    </w:lvl>
    <w:lvl w:ilvl="4" w:tplc="40FEE006">
      <w:start w:val="1"/>
      <w:numFmt w:val="bullet"/>
      <w:lvlText w:val="o"/>
      <w:lvlJc w:val="left"/>
      <w:pPr>
        <w:ind w:left="3600" w:hanging="360"/>
      </w:pPr>
      <w:rPr>
        <w:rFonts w:ascii="Courier New" w:hAnsi="Courier New" w:cs="Courier New" w:hint="default"/>
      </w:rPr>
    </w:lvl>
    <w:lvl w:ilvl="5" w:tplc="E1CAB7AE">
      <w:start w:val="1"/>
      <w:numFmt w:val="bullet"/>
      <w:lvlText w:val=""/>
      <w:lvlJc w:val="left"/>
      <w:pPr>
        <w:ind w:left="4320" w:hanging="360"/>
      </w:pPr>
      <w:rPr>
        <w:rFonts w:ascii="Wingdings" w:hAnsi="Wingdings" w:hint="default"/>
      </w:rPr>
    </w:lvl>
    <w:lvl w:ilvl="6" w:tplc="1C2050DC">
      <w:start w:val="1"/>
      <w:numFmt w:val="bullet"/>
      <w:lvlText w:val=""/>
      <w:lvlJc w:val="left"/>
      <w:pPr>
        <w:ind w:left="5040" w:hanging="360"/>
      </w:pPr>
      <w:rPr>
        <w:rFonts w:ascii="Symbol" w:hAnsi="Symbol" w:hint="default"/>
      </w:rPr>
    </w:lvl>
    <w:lvl w:ilvl="7" w:tplc="81ECC9C8">
      <w:start w:val="1"/>
      <w:numFmt w:val="bullet"/>
      <w:lvlText w:val="o"/>
      <w:lvlJc w:val="left"/>
      <w:pPr>
        <w:ind w:left="5760" w:hanging="360"/>
      </w:pPr>
      <w:rPr>
        <w:rFonts w:ascii="Courier New" w:hAnsi="Courier New" w:cs="Courier New" w:hint="default"/>
      </w:rPr>
    </w:lvl>
    <w:lvl w:ilvl="8" w:tplc="7F72C14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3734E"/>
    <w:rsid w:val="0007709F"/>
    <w:rsid w:val="000B7607"/>
    <w:rsid w:val="000E23AA"/>
    <w:rsid w:val="001147C2"/>
    <w:rsid w:val="00125362"/>
    <w:rsid w:val="001674F2"/>
    <w:rsid w:val="00170ECA"/>
    <w:rsid w:val="001B1945"/>
    <w:rsid w:val="00203B13"/>
    <w:rsid w:val="00260607"/>
    <w:rsid w:val="00271C84"/>
    <w:rsid w:val="002B34FE"/>
    <w:rsid w:val="002D5F30"/>
    <w:rsid w:val="00304FF7"/>
    <w:rsid w:val="003278C5"/>
    <w:rsid w:val="00425F8A"/>
    <w:rsid w:val="00495B1A"/>
    <w:rsid w:val="005029B8"/>
    <w:rsid w:val="00513D16"/>
    <w:rsid w:val="00523EB5"/>
    <w:rsid w:val="005561AD"/>
    <w:rsid w:val="00592D66"/>
    <w:rsid w:val="005F5ED3"/>
    <w:rsid w:val="00672A95"/>
    <w:rsid w:val="006A4DE2"/>
    <w:rsid w:val="006C2A83"/>
    <w:rsid w:val="007077E0"/>
    <w:rsid w:val="00742E13"/>
    <w:rsid w:val="007708AC"/>
    <w:rsid w:val="00770F31"/>
    <w:rsid w:val="007D74A5"/>
    <w:rsid w:val="008565B3"/>
    <w:rsid w:val="00864BD0"/>
    <w:rsid w:val="00865518"/>
    <w:rsid w:val="008F66AB"/>
    <w:rsid w:val="00901EFC"/>
    <w:rsid w:val="00945FB2"/>
    <w:rsid w:val="0096231F"/>
    <w:rsid w:val="009819B6"/>
    <w:rsid w:val="009B7EBC"/>
    <w:rsid w:val="009F5EF1"/>
    <w:rsid w:val="00A36EB7"/>
    <w:rsid w:val="00A65E25"/>
    <w:rsid w:val="00A86B32"/>
    <w:rsid w:val="00AB7F0D"/>
    <w:rsid w:val="00B00D42"/>
    <w:rsid w:val="00BA23DB"/>
    <w:rsid w:val="00BD5F4F"/>
    <w:rsid w:val="00BF2996"/>
    <w:rsid w:val="00BF4BB0"/>
    <w:rsid w:val="00C229FB"/>
    <w:rsid w:val="00C46E21"/>
    <w:rsid w:val="00CA0A7E"/>
    <w:rsid w:val="00D75AC7"/>
    <w:rsid w:val="00D845C0"/>
    <w:rsid w:val="00D96ED3"/>
    <w:rsid w:val="00DB02A8"/>
    <w:rsid w:val="00DB063D"/>
    <w:rsid w:val="00DB2DFA"/>
    <w:rsid w:val="00DF0352"/>
    <w:rsid w:val="00E21B9E"/>
    <w:rsid w:val="00E64D16"/>
    <w:rsid w:val="00E65EBD"/>
    <w:rsid w:val="00EA1775"/>
    <w:rsid w:val="00EA4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F2B3"/>
  <w15:docId w15:val="{99DDECC8-B73A-4BA4-AD34-BFECC94D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sites/uncitral.un.org/files/media-documents/uncitral/en/06-57452_ebook.pdf" TargetMode="Externa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6190C-108D-4FF8-A826-E3684BC40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2633</TotalTime>
  <Pages>14</Pages>
  <Words>3645</Words>
  <Characters>20783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Dmitrik</dc:creator>
  <cp:keywords/>
  <dc:description/>
  <cp:lastModifiedBy>Nikolay Dmitrik</cp:lastModifiedBy>
  <cp:revision>138</cp:revision>
  <dcterms:created xsi:type="dcterms:W3CDTF">2025-01-14T06:54:00Z</dcterms:created>
  <dcterms:modified xsi:type="dcterms:W3CDTF">2025-03-18T13:55:00Z</dcterms:modified>
</cp:coreProperties>
</file>